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Pr="002040B9" w:rsidRDefault="00790973" w:rsidP="00790973">
      <w:pPr>
        <w:pStyle w:val="Nzev"/>
        <w:spacing w:after="720"/>
        <w:rPr>
          <w:sz w:val="32"/>
          <w:szCs w:val="32"/>
        </w:rPr>
      </w:pPr>
    </w:p>
    <w:p w:rsidR="00C30D59" w:rsidRPr="002040B9" w:rsidRDefault="002040B9" w:rsidP="00790973">
      <w:pPr>
        <w:pStyle w:val="Nzev"/>
        <w:spacing w:after="720"/>
        <w:rPr>
          <w:sz w:val="32"/>
          <w:szCs w:val="32"/>
        </w:rPr>
      </w:pPr>
      <w:r w:rsidRPr="002040B9">
        <w:rPr>
          <w:sz w:val="32"/>
          <w:szCs w:val="32"/>
        </w:rPr>
        <w:t xml:space="preserve">Oprava kalových polí </w:t>
      </w:r>
      <w:r w:rsidR="00E724C9">
        <w:rPr>
          <w:sz w:val="32"/>
          <w:szCs w:val="32"/>
        </w:rPr>
        <w:t xml:space="preserve">– sklad </w:t>
      </w:r>
      <w:r w:rsidRPr="002040B9">
        <w:rPr>
          <w:sz w:val="32"/>
          <w:szCs w:val="32"/>
        </w:rPr>
        <w:t>Cerekvice nad Bystřicí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r w:rsidR="00557E2B">
        <w:t>213/12, Holešovice, 170 00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5D6131">
        <w:t xml:space="preserve"> </w:t>
      </w:r>
      <w:r w:rsidR="00E34EAC">
        <w:t>účtu:</w:t>
      </w:r>
      <w:r w:rsidR="00E34EAC">
        <w:tab/>
      </w:r>
      <w:r w:rsidR="00E34EAC">
        <w:tab/>
      </w:r>
      <w:r w:rsidR="00E34EAC">
        <w:tab/>
      </w:r>
      <w:r w:rsidR="00E34EAC">
        <w:tab/>
        <w:t>11-</w:t>
      </w:r>
      <w:r>
        <w:t>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2040B9" w:rsidP="002040B9">
      <w:pPr>
        <w:tabs>
          <w:tab w:val="left" w:pos="567"/>
          <w:tab w:val="left" w:pos="2268"/>
        </w:tabs>
      </w:pPr>
      <w:r>
        <w:tab/>
        <w:t>zastupuje</w:t>
      </w:r>
      <w:r w:rsidR="00C30D59">
        <w:t>:</w:t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2040B9" w:rsidRDefault="002040B9" w:rsidP="00C30D59"/>
    <w:p w:rsidR="00C30D59" w:rsidRDefault="00C30D59" w:rsidP="00C30D59">
      <w:r w:rsidRPr="00C30D59">
        <w:t>Osoby oprávněné jednat za objednatele v rámci uzavřené smlouvy o dílo</w:t>
      </w:r>
      <w:r w:rsidR="00557E2B">
        <w:t xml:space="preserve"> (každá samostatně)</w:t>
      </w:r>
      <w:r w:rsidRPr="00C30D59">
        <w:t>:</w:t>
      </w:r>
    </w:p>
    <w:tbl>
      <w:tblPr>
        <w:tblStyle w:val="Mkatabulky"/>
        <w:tblW w:w="9495" w:type="dxa"/>
        <w:tblLook w:val="04A0" w:firstRow="1" w:lastRow="0" w:firstColumn="1" w:lastColumn="0" w:noHBand="0" w:noVBand="1"/>
      </w:tblPr>
      <w:tblGrid>
        <w:gridCol w:w="2943"/>
        <w:gridCol w:w="2410"/>
        <w:gridCol w:w="1839"/>
        <w:gridCol w:w="2303"/>
      </w:tblGrid>
      <w:tr w:rsidR="00C30D59" w:rsidRPr="009A21C7" w:rsidTr="005D6131">
        <w:trPr>
          <w:trHeight w:val="450"/>
        </w:trPr>
        <w:tc>
          <w:tcPr>
            <w:tcW w:w="294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0F35E6">
        <w:trPr>
          <w:trHeight w:val="286"/>
        </w:trPr>
        <w:tc>
          <w:tcPr>
            <w:tcW w:w="2943" w:type="dxa"/>
            <w:vAlign w:val="center"/>
          </w:tcPr>
          <w:p w:rsidR="00C30D59" w:rsidRPr="009D0284" w:rsidRDefault="00C30D59" w:rsidP="000F35E6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D0284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D0284" w:rsidRDefault="008B5A2C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Bc. Petr Hostek</w:t>
            </w:r>
          </w:p>
        </w:tc>
        <w:tc>
          <w:tcPr>
            <w:tcW w:w="1839" w:type="dxa"/>
            <w:vAlign w:val="center"/>
          </w:tcPr>
          <w:p w:rsidR="00C30D59" w:rsidRPr="009A0F9B" w:rsidRDefault="008B5A2C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739 240 030</w:t>
            </w:r>
          </w:p>
        </w:tc>
        <w:tc>
          <w:tcPr>
            <w:tcW w:w="2303" w:type="dxa"/>
            <w:vAlign w:val="center"/>
          </w:tcPr>
          <w:p w:rsidR="00C30D59" w:rsidRPr="009A0F9B" w:rsidRDefault="00E50146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petr.hostek</w:t>
            </w:r>
            <w:r w:rsidR="009D0284">
              <w:rPr>
                <w:rFonts w:cs="Arial"/>
                <w:color w:val="000000"/>
                <w:sz w:val="16"/>
                <w:szCs w:val="16"/>
              </w:rPr>
              <w:t>@ceproas.cz</w:t>
            </w:r>
          </w:p>
        </w:tc>
      </w:tr>
      <w:tr w:rsidR="00E724C9" w:rsidRPr="009A21C7" w:rsidTr="000F35E6">
        <w:trPr>
          <w:trHeight w:val="262"/>
        </w:trPr>
        <w:tc>
          <w:tcPr>
            <w:tcW w:w="2943" w:type="dxa"/>
            <w:vAlign w:val="center"/>
          </w:tcPr>
          <w:p w:rsidR="00E724C9" w:rsidRPr="009D0284" w:rsidRDefault="00E724C9" w:rsidP="000F35E6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D0284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E724C9" w:rsidRPr="009D0284" w:rsidRDefault="00E724C9" w:rsidP="0065764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D0284">
              <w:rPr>
                <w:rFonts w:cs="Arial"/>
                <w:color w:val="000000"/>
                <w:sz w:val="16"/>
                <w:szCs w:val="16"/>
              </w:rPr>
              <w:t>František Petřík</w:t>
            </w:r>
          </w:p>
        </w:tc>
        <w:tc>
          <w:tcPr>
            <w:tcW w:w="1839" w:type="dxa"/>
            <w:vAlign w:val="center"/>
          </w:tcPr>
          <w:p w:rsidR="00E724C9" w:rsidRPr="009A0F9B" w:rsidRDefault="00E724C9" w:rsidP="0065764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739 240 378</w:t>
            </w:r>
          </w:p>
        </w:tc>
        <w:tc>
          <w:tcPr>
            <w:tcW w:w="2303" w:type="dxa"/>
            <w:vAlign w:val="center"/>
          </w:tcPr>
          <w:p w:rsidR="00E724C9" w:rsidRPr="009A0F9B" w:rsidRDefault="00E724C9" w:rsidP="0065764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frantisek.petrik@ceproas.cz</w:t>
            </w:r>
          </w:p>
        </w:tc>
      </w:tr>
      <w:tr w:rsidR="00E724C9" w:rsidRPr="009A21C7" w:rsidTr="000F35E6">
        <w:trPr>
          <w:trHeight w:val="266"/>
        </w:trPr>
        <w:tc>
          <w:tcPr>
            <w:tcW w:w="2943" w:type="dxa"/>
            <w:vAlign w:val="center"/>
          </w:tcPr>
          <w:p w:rsidR="00E724C9" w:rsidRPr="009D0284" w:rsidRDefault="00E724C9" w:rsidP="000F35E6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zápisu</w:t>
            </w:r>
            <w:r w:rsidRPr="009D0284">
              <w:rPr>
                <w:rFonts w:cs="Arial"/>
                <w:color w:val="000000"/>
                <w:sz w:val="16"/>
                <w:szCs w:val="16"/>
              </w:rPr>
              <w:t xml:space="preserve"> do deníku</w:t>
            </w:r>
          </w:p>
        </w:tc>
        <w:tc>
          <w:tcPr>
            <w:tcW w:w="2410" w:type="dxa"/>
            <w:vAlign w:val="center"/>
          </w:tcPr>
          <w:p w:rsidR="00E724C9" w:rsidRPr="009D0284" w:rsidRDefault="00E724C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D0284">
              <w:rPr>
                <w:rFonts w:cs="Arial"/>
                <w:color w:val="000000"/>
                <w:sz w:val="16"/>
                <w:szCs w:val="16"/>
              </w:rPr>
              <w:t>František Petřík</w:t>
            </w:r>
          </w:p>
        </w:tc>
        <w:tc>
          <w:tcPr>
            <w:tcW w:w="1839" w:type="dxa"/>
            <w:vAlign w:val="center"/>
          </w:tcPr>
          <w:p w:rsidR="00E724C9" w:rsidRPr="009A0F9B" w:rsidRDefault="00E724C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739 240 378</w:t>
            </w:r>
          </w:p>
        </w:tc>
        <w:tc>
          <w:tcPr>
            <w:tcW w:w="2303" w:type="dxa"/>
            <w:vAlign w:val="center"/>
          </w:tcPr>
          <w:p w:rsidR="00E724C9" w:rsidRPr="009A0F9B" w:rsidRDefault="00E724C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frantisek.petrik@ceproas.cz</w:t>
            </w:r>
          </w:p>
        </w:tc>
      </w:tr>
      <w:tr w:rsidR="00E724C9" w:rsidRPr="009A21C7" w:rsidTr="00F44A7A">
        <w:trPr>
          <w:trHeight w:val="553"/>
        </w:trPr>
        <w:tc>
          <w:tcPr>
            <w:tcW w:w="2943" w:type="dxa"/>
            <w:vAlign w:val="center"/>
          </w:tcPr>
          <w:p w:rsidR="00E724C9" w:rsidRPr="009D0284" w:rsidRDefault="00E724C9" w:rsidP="000F35E6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D0284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E724C9" w:rsidRDefault="00E724C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D0284">
              <w:rPr>
                <w:rFonts w:cs="Arial"/>
                <w:color w:val="000000"/>
                <w:sz w:val="16"/>
                <w:szCs w:val="16"/>
              </w:rPr>
              <w:t xml:space="preserve">Ing. Sylva </w:t>
            </w:r>
            <w:r w:rsidR="00F44A7A">
              <w:rPr>
                <w:rFonts w:cs="Arial"/>
                <w:color w:val="000000"/>
                <w:sz w:val="16"/>
                <w:szCs w:val="16"/>
              </w:rPr>
              <w:t>Š</w:t>
            </w:r>
            <w:r w:rsidRPr="009D0284">
              <w:rPr>
                <w:rFonts w:cs="Arial"/>
                <w:color w:val="000000"/>
                <w:sz w:val="16"/>
                <w:szCs w:val="16"/>
              </w:rPr>
              <w:t>edivá</w:t>
            </w:r>
          </w:p>
          <w:p w:rsidR="00E724C9" w:rsidRPr="009D0284" w:rsidRDefault="00E724C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D0284">
              <w:rPr>
                <w:rFonts w:cs="Arial"/>
                <w:color w:val="000000"/>
                <w:sz w:val="16"/>
                <w:szCs w:val="16"/>
              </w:rPr>
              <w:t>Ing. Martin Balvín</w:t>
            </w:r>
          </w:p>
        </w:tc>
        <w:tc>
          <w:tcPr>
            <w:tcW w:w="1839" w:type="dxa"/>
            <w:vAlign w:val="center"/>
          </w:tcPr>
          <w:p w:rsidR="00E724C9" w:rsidRDefault="00E724C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606 647 692</w:t>
            </w:r>
          </w:p>
          <w:p w:rsidR="00E724C9" w:rsidRPr="009A0F9B" w:rsidRDefault="00E724C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739 240 715</w:t>
            </w:r>
          </w:p>
        </w:tc>
        <w:tc>
          <w:tcPr>
            <w:tcW w:w="2303" w:type="dxa"/>
            <w:vAlign w:val="center"/>
          </w:tcPr>
          <w:p w:rsidR="00E724C9" w:rsidRDefault="004B3D5B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E724C9" w:rsidRPr="003C3EDB">
                <w:rPr>
                  <w:rStyle w:val="Hypertextovodkaz"/>
                  <w:rFonts w:cs="Arial"/>
                  <w:sz w:val="16"/>
                  <w:szCs w:val="16"/>
                </w:rPr>
                <w:t>sylva.sediva@ceproas.cz</w:t>
              </w:r>
            </w:hyperlink>
          </w:p>
          <w:p w:rsidR="00E724C9" w:rsidRPr="009A0F9B" w:rsidRDefault="00E724C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Style w:val="Odkaznakoment"/>
                <w:rFonts w:cs="Arial"/>
                <w:color w:val="00000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martin.balvin@ceproas.cz</w:t>
            </w:r>
          </w:p>
        </w:tc>
      </w:tr>
      <w:tr w:rsidR="00E724C9" w:rsidRPr="009A21C7" w:rsidTr="000F35E6">
        <w:trPr>
          <w:trHeight w:val="274"/>
        </w:trPr>
        <w:tc>
          <w:tcPr>
            <w:tcW w:w="2943" w:type="dxa"/>
            <w:vAlign w:val="center"/>
          </w:tcPr>
          <w:p w:rsidR="00E724C9" w:rsidRPr="009D0284" w:rsidRDefault="00E724C9" w:rsidP="000F35E6">
            <w:pPr>
              <w:overflowPunct w:val="0"/>
              <w:autoSpaceDE w:val="0"/>
              <w:autoSpaceDN w:val="0"/>
              <w:adjustRightInd w:val="0"/>
              <w:spacing w:after="0"/>
              <w:ind w:right="34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D0284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E724C9" w:rsidRDefault="00E724C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D0284">
              <w:rPr>
                <w:rFonts w:cs="Arial"/>
                <w:color w:val="000000"/>
                <w:sz w:val="16"/>
                <w:szCs w:val="16"/>
              </w:rPr>
              <w:t>Pavel Hýsek</w:t>
            </w:r>
          </w:p>
          <w:p w:rsidR="00990309" w:rsidRPr="009D0284" w:rsidRDefault="00990309" w:rsidP="00990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Tomáš Netolický</w:t>
            </w:r>
          </w:p>
        </w:tc>
        <w:tc>
          <w:tcPr>
            <w:tcW w:w="1839" w:type="dxa"/>
            <w:vAlign w:val="center"/>
          </w:tcPr>
          <w:p w:rsidR="00E724C9" w:rsidRDefault="00E724C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724 643</w:t>
            </w:r>
            <w:r w:rsidR="00990309">
              <w:rPr>
                <w:rFonts w:cs="Arial"/>
                <w:color w:val="000000"/>
                <w:sz w:val="16"/>
                <w:szCs w:val="16"/>
              </w:rPr>
              <w:t> </w:t>
            </w:r>
            <w:r>
              <w:rPr>
                <w:rFonts w:cs="Arial"/>
                <w:color w:val="000000"/>
                <w:sz w:val="16"/>
                <w:szCs w:val="16"/>
              </w:rPr>
              <w:t>510</w:t>
            </w:r>
          </w:p>
          <w:p w:rsidR="00990309" w:rsidRPr="009A0F9B" w:rsidRDefault="0099030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739 240 476</w:t>
            </w:r>
          </w:p>
        </w:tc>
        <w:tc>
          <w:tcPr>
            <w:tcW w:w="2303" w:type="dxa"/>
            <w:vAlign w:val="center"/>
          </w:tcPr>
          <w:p w:rsidR="00E724C9" w:rsidRDefault="004B3D5B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0" w:history="1">
              <w:r w:rsidR="00990309" w:rsidRPr="003C3EDB">
                <w:rPr>
                  <w:rStyle w:val="Hypertextovodkaz"/>
                  <w:rFonts w:cs="Arial"/>
                  <w:sz w:val="16"/>
                  <w:szCs w:val="16"/>
                </w:rPr>
                <w:t>pavel.hysek@ceproas.cz</w:t>
              </w:r>
            </w:hyperlink>
          </w:p>
          <w:p w:rsidR="00990309" w:rsidRPr="009A0F9B" w:rsidRDefault="00990309" w:rsidP="00FB510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Style w:val="Odkaznakoment"/>
                <w:rFonts w:cs="Arial"/>
                <w:color w:val="000000"/>
              </w:rPr>
            </w:pPr>
            <w:r>
              <w:rPr>
                <w:rStyle w:val="Odkaznakoment"/>
                <w:rFonts w:cs="Arial"/>
                <w:color w:val="000000"/>
              </w:rPr>
              <w:t>tomas.netolickyvceproas.cz</w:t>
            </w:r>
          </w:p>
        </w:tc>
      </w:tr>
    </w:tbl>
    <w:p w:rsidR="002040B9" w:rsidRDefault="002040B9" w:rsidP="00C30D59"/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0F35E6" w:rsidRDefault="000F35E6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</w:t>
      </w:r>
      <w:proofErr w:type="gramStart"/>
      <w:r>
        <w:t>….., oddíl</w:t>
      </w:r>
      <w:proofErr w:type="gramEnd"/>
      <w:r>
        <w:t xml:space="preserve">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5D6131" w:rsidP="000F35E6">
      <w:pPr>
        <w:tabs>
          <w:tab w:val="left" w:pos="2268"/>
        </w:tabs>
        <w:ind w:left="283" w:firstLine="284"/>
      </w:pPr>
      <w:r>
        <w:t>zastupuje:</w:t>
      </w:r>
      <w:r>
        <w:tab/>
      </w:r>
      <w:r>
        <w:tab/>
      </w:r>
      <w:r w:rsidR="00C30D59">
        <w:t>………………</w:t>
      </w:r>
    </w:p>
    <w:p w:rsidR="000F35E6" w:rsidRDefault="000F35E6" w:rsidP="000F35E6">
      <w:pPr>
        <w:tabs>
          <w:tab w:val="left" w:pos="2268"/>
        </w:tabs>
        <w:ind w:left="283" w:firstLine="284"/>
      </w:pPr>
    </w:p>
    <w:p w:rsidR="000F35E6" w:rsidRDefault="000F35E6" w:rsidP="000F35E6">
      <w:pPr>
        <w:tabs>
          <w:tab w:val="left" w:pos="2268"/>
        </w:tabs>
        <w:ind w:left="283" w:firstLine="284"/>
      </w:pPr>
    </w:p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3"/>
        <w:gridCol w:w="2127"/>
        <w:gridCol w:w="1839"/>
        <w:gridCol w:w="2303"/>
      </w:tblGrid>
      <w:tr w:rsidR="00C30D59" w:rsidRPr="009A21C7" w:rsidTr="009D0284">
        <w:trPr>
          <w:trHeight w:val="438"/>
        </w:trPr>
        <w:tc>
          <w:tcPr>
            <w:tcW w:w="294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127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D0284">
        <w:tc>
          <w:tcPr>
            <w:tcW w:w="294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127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D0284">
        <w:tc>
          <w:tcPr>
            <w:tcW w:w="294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127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D0284">
        <w:tc>
          <w:tcPr>
            <w:tcW w:w="2943" w:type="dxa"/>
            <w:vAlign w:val="center"/>
          </w:tcPr>
          <w:p w:rsidR="00C30D59" w:rsidRPr="009A0F9B" w:rsidRDefault="00C30D59" w:rsidP="009D02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</w:t>
            </w:r>
            <w:r w:rsidR="009D0284">
              <w:rPr>
                <w:rFonts w:cs="Arial"/>
                <w:color w:val="000000"/>
                <w:sz w:val="16"/>
                <w:szCs w:val="16"/>
              </w:rPr>
              <w:t>ápisu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 do deníku</w:t>
            </w:r>
          </w:p>
        </w:tc>
        <w:tc>
          <w:tcPr>
            <w:tcW w:w="2127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D0284">
        <w:tc>
          <w:tcPr>
            <w:tcW w:w="294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127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D0284">
        <w:tc>
          <w:tcPr>
            <w:tcW w:w="294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127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F07967">
      <w:pPr>
        <w:pStyle w:val="Odstavec2"/>
        <w:numPr>
          <w:ilvl w:val="0"/>
          <w:numId w:val="0"/>
        </w:numPr>
        <w:spacing w:before="120"/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3D29B6">
      <w:pPr>
        <w:pStyle w:val="lnek"/>
        <w:spacing w:before="36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557E2B" w:rsidRDefault="00B20BE0" w:rsidP="00B20BE0">
      <w:pPr>
        <w:pStyle w:val="Odstavec2"/>
      </w:pPr>
      <w:r w:rsidRPr="00B20BE0">
        <w:t xml:space="preserve">Předmětem této </w:t>
      </w:r>
      <w:r w:rsidRPr="00DE3F03">
        <w:t>Smlouvy je realizace díla „</w:t>
      </w:r>
      <w:r w:rsidR="00DE3F03" w:rsidRPr="00DE3F03">
        <w:t xml:space="preserve">Oprava kalových polí </w:t>
      </w:r>
      <w:r w:rsidR="00E724C9">
        <w:t xml:space="preserve">– sklad </w:t>
      </w:r>
      <w:r w:rsidR="00DE3F03" w:rsidRPr="00DE3F03">
        <w:t>Cerekvice nad Bystřicí</w:t>
      </w:r>
      <w:r w:rsidRPr="00DE3F03">
        <w:t xml:space="preserve">“, které zahrnuje zejména </w:t>
      </w:r>
      <w:r w:rsidR="00557E2B">
        <w:t>níže uvedené práce, služby, dodávky a jiné výkony:</w:t>
      </w:r>
    </w:p>
    <w:p w:rsidR="006B53A3" w:rsidRDefault="00557E2B" w:rsidP="00D871B0">
      <w:pPr>
        <w:pStyle w:val="Odstavec2"/>
        <w:numPr>
          <w:ilvl w:val="0"/>
          <w:numId w:val="0"/>
        </w:numPr>
        <w:ind w:left="567"/>
      </w:pPr>
      <w:r>
        <w:t xml:space="preserve">- </w:t>
      </w:r>
      <w:r w:rsidR="00DE3F03" w:rsidRPr="00DE3F03">
        <w:t xml:space="preserve">vytěžení </w:t>
      </w:r>
      <w:r>
        <w:t xml:space="preserve">veškerého </w:t>
      </w:r>
      <w:r w:rsidR="00DE3F03" w:rsidRPr="00DE3F03">
        <w:t xml:space="preserve">nebezpečného </w:t>
      </w:r>
      <w:r>
        <w:t xml:space="preserve">a jiného </w:t>
      </w:r>
      <w:r w:rsidR="00DE3F03" w:rsidRPr="00DE3F03">
        <w:t>odpadu</w:t>
      </w:r>
      <w:r>
        <w:t xml:space="preserve"> včetně kalů a</w:t>
      </w:r>
      <w:r w:rsidR="00DE3F03" w:rsidRPr="00DE3F03">
        <w:t xml:space="preserve"> znehodnocené drenážní vrstvy </w:t>
      </w:r>
      <w:r w:rsidR="006B53A3">
        <w:t>u kalových polí č. 1, č. 2, č. 3 a č. 4 u chemické čistírny odpadních vod (dále též jen „CHČOV“) ve skladu v Cerekvici nad Bystřicí,</w:t>
      </w:r>
    </w:p>
    <w:p w:rsidR="006B53A3" w:rsidRDefault="006B53A3" w:rsidP="00D871B0">
      <w:pPr>
        <w:pStyle w:val="Odstavec2"/>
        <w:numPr>
          <w:ilvl w:val="0"/>
          <w:numId w:val="0"/>
        </w:numPr>
        <w:ind w:left="567"/>
      </w:pPr>
      <w:r>
        <w:t xml:space="preserve">- ekologická likvidace vytěžených odpadů </w:t>
      </w:r>
    </w:p>
    <w:p w:rsidR="006B53A3" w:rsidRDefault="006B53A3" w:rsidP="00D871B0">
      <w:pPr>
        <w:pStyle w:val="Odstavec2"/>
        <w:numPr>
          <w:ilvl w:val="0"/>
          <w:numId w:val="0"/>
        </w:numPr>
        <w:ind w:left="567"/>
      </w:pPr>
      <w:r>
        <w:t xml:space="preserve">- demontáž ocelových roštů </w:t>
      </w:r>
      <w:r w:rsidR="00DE3F03" w:rsidRPr="00DE3F03">
        <w:t>a drenážní trubky</w:t>
      </w:r>
      <w:r>
        <w:t xml:space="preserve"> ze dna kalových polí</w:t>
      </w:r>
      <w:r w:rsidR="00DE3F03" w:rsidRPr="00DE3F03">
        <w:t>,</w:t>
      </w:r>
    </w:p>
    <w:p w:rsidR="006B53A3" w:rsidRDefault="006B53A3" w:rsidP="00D871B0">
      <w:pPr>
        <w:pStyle w:val="Odstavec2"/>
        <w:numPr>
          <w:ilvl w:val="0"/>
          <w:numId w:val="0"/>
        </w:numPr>
        <w:ind w:left="567"/>
      </w:pPr>
      <w:r>
        <w:t xml:space="preserve">- </w:t>
      </w:r>
      <w:r w:rsidR="00DE3F03">
        <w:t>vyčištění kalových polí,</w:t>
      </w:r>
    </w:p>
    <w:p w:rsidR="00AA42E3" w:rsidRDefault="006B53A3" w:rsidP="00D871B0">
      <w:pPr>
        <w:pStyle w:val="Odstavec2"/>
        <w:numPr>
          <w:ilvl w:val="0"/>
          <w:numId w:val="0"/>
        </w:numPr>
        <w:ind w:left="567"/>
      </w:pPr>
      <w:r>
        <w:t>- osazení kalových polí novou drenážní plastovou trubkou DN 100 a osazení původních ocelových roštů</w:t>
      </w:r>
      <w:r w:rsidR="00AA42E3">
        <w:t>,</w:t>
      </w:r>
    </w:p>
    <w:p w:rsidR="007E0004" w:rsidRDefault="00AA42E3" w:rsidP="00AE2EB8">
      <w:pPr>
        <w:pStyle w:val="Odstavec2"/>
        <w:numPr>
          <w:ilvl w:val="0"/>
          <w:numId w:val="0"/>
        </w:numPr>
        <w:ind w:left="567"/>
      </w:pPr>
      <w:r>
        <w:t>- roz</w:t>
      </w:r>
      <w:r w:rsidR="007E0004">
        <w:t>vrstvení nové drenážní vrstvy,</w:t>
      </w:r>
    </w:p>
    <w:p w:rsidR="007E0004" w:rsidRDefault="007E0004" w:rsidP="00D871B0">
      <w:pPr>
        <w:pStyle w:val="Odstavec2"/>
        <w:numPr>
          <w:ilvl w:val="0"/>
          <w:numId w:val="0"/>
        </w:numPr>
        <w:ind w:left="567"/>
      </w:pPr>
      <w:r>
        <w:t xml:space="preserve">- </w:t>
      </w:r>
      <w:r w:rsidR="002334FE">
        <w:t xml:space="preserve">ekologická likvidace veškerých odpadů vzniklých při provádění díla Zhotovitelem, </w:t>
      </w:r>
      <w:r>
        <w:t xml:space="preserve">uvedení </w:t>
      </w:r>
      <w:r w:rsidR="002334FE">
        <w:t xml:space="preserve">díla </w:t>
      </w:r>
      <w:r>
        <w:t>do provozu</w:t>
      </w:r>
      <w:r w:rsidR="00B20BE0" w:rsidRPr="00B20BE0">
        <w:t xml:space="preserve"> </w:t>
      </w:r>
    </w:p>
    <w:p w:rsidR="00557E2B" w:rsidRPr="00B20BE0" w:rsidRDefault="00B20BE0" w:rsidP="00F07967">
      <w:pPr>
        <w:pStyle w:val="Odstavec2"/>
        <w:numPr>
          <w:ilvl w:val="0"/>
          <w:numId w:val="0"/>
        </w:numPr>
        <w:ind w:left="567"/>
      </w:pPr>
      <w:r w:rsidRPr="00B20BE0">
        <w:t>(dále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7E0004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proofErr w:type="gramStart"/>
      <w:r w:rsidRPr="00681543">
        <w:rPr>
          <w:highlight w:val="cyan"/>
        </w:rPr>
        <w:t>…..</w:t>
      </w:r>
      <w:r>
        <w:t xml:space="preserve"> k zakázce</w:t>
      </w:r>
      <w:proofErr w:type="gramEnd"/>
      <w:r>
        <w:t xml:space="preserve"> č.</w:t>
      </w:r>
      <w:r w:rsidR="00DE3F03">
        <w:t xml:space="preserve"> </w:t>
      </w:r>
      <w:r w:rsidR="00AF01AF">
        <w:t>114</w:t>
      </w:r>
      <w:r w:rsidR="00DE3F03">
        <w:rPr>
          <w:lang w:val="en-US"/>
        </w:rPr>
        <w:t>/</w:t>
      </w:r>
      <w:r w:rsidR="00DE3F03">
        <w:t>1</w:t>
      </w:r>
      <w:r w:rsidR="00E724C9">
        <w:t>5</w:t>
      </w:r>
      <w:r w:rsidR="00DE3F03">
        <w:rPr>
          <w:lang w:val="en-US"/>
        </w:rPr>
        <w:t>/</w:t>
      </w:r>
      <w:r w:rsidR="00DE3F03">
        <w:t>OCN</w:t>
      </w:r>
      <w:r>
        <w:t>, nazvané „</w:t>
      </w:r>
      <w:r w:rsidR="00DE3F03">
        <w:t xml:space="preserve">Oprava kalových polí </w:t>
      </w:r>
      <w:r w:rsidR="00E724C9">
        <w:t xml:space="preserve">– sklad </w:t>
      </w:r>
      <w:r w:rsidR="00DE3F03">
        <w:t>Bystřice nad Cerekvicí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7E0004" w:rsidRDefault="00B20BE0" w:rsidP="00DE3F03">
      <w:pPr>
        <w:pStyle w:val="Odstavec2"/>
        <w:numPr>
          <w:ilvl w:val="0"/>
          <w:numId w:val="25"/>
        </w:numPr>
      </w:pPr>
      <w:r>
        <w:t xml:space="preserve">nabídky </w:t>
      </w:r>
      <w:r w:rsidRPr="006B4351">
        <w:t xml:space="preserve">Zhotovitele </w:t>
      </w:r>
      <w:r w:rsidRPr="00681543">
        <w:rPr>
          <w:highlight w:val="cyan"/>
        </w:rPr>
        <w:t xml:space="preserve">č. ……. </w:t>
      </w:r>
      <w:proofErr w:type="gramStart"/>
      <w:r w:rsidRPr="00681543">
        <w:rPr>
          <w:highlight w:val="cyan"/>
        </w:rPr>
        <w:t>ze</w:t>
      </w:r>
      <w:proofErr w:type="gramEnd"/>
      <w:r w:rsidRPr="00681543">
        <w:rPr>
          <w:highlight w:val="cyan"/>
        </w:rPr>
        <w:t xml:space="preserve"> dne …….</w:t>
      </w:r>
      <w:r w:rsidRPr="006B4351">
        <w:t xml:space="preserve"> podané do výběrového řízení k zakázce </w:t>
      </w:r>
      <w:r w:rsidR="00AF68B0" w:rsidRPr="006B4351">
        <w:t xml:space="preserve">dle </w:t>
      </w:r>
      <w:r w:rsidR="007E0004">
        <w:t>Zadávací dokumentace (dále též jen „</w:t>
      </w:r>
      <w:r w:rsidR="007E0004" w:rsidRPr="007E0004">
        <w:rPr>
          <w:b/>
          <w:i/>
        </w:rPr>
        <w:t>Nabídka</w:t>
      </w:r>
      <w:r w:rsidR="007E0004">
        <w:t>“)</w:t>
      </w:r>
    </w:p>
    <w:p w:rsidR="00B20BE0" w:rsidRPr="006B4351" w:rsidRDefault="00AF68B0" w:rsidP="007E0004">
      <w:pPr>
        <w:pStyle w:val="Odstavec2"/>
        <w:numPr>
          <w:ilvl w:val="0"/>
          <w:numId w:val="0"/>
        </w:numPr>
        <w:ind w:left="1287"/>
      </w:pPr>
      <w:r w:rsidRPr="006B4351">
        <w:t>V případě rozporu mezi jednotlivými dokumenty Závazných podkladů má přednost Zadávací dokumentace.</w:t>
      </w:r>
    </w:p>
    <w:p w:rsidR="00AF68B0" w:rsidRPr="006B4351" w:rsidRDefault="00AF68B0" w:rsidP="00AF68B0">
      <w:pPr>
        <w:pStyle w:val="Odstavec2"/>
      </w:pPr>
      <w:r w:rsidRPr="006B4351">
        <w:t xml:space="preserve">Zhotovitel odpovídá za kompletnost Nabídky a za skutečnost, že Nabídka zajišťuje provedení </w:t>
      </w:r>
      <w:r w:rsidR="007E0004">
        <w:t>D</w:t>
      </w:r>
      <w:r w:rsidRPr="006B4351">
        <w:t>íla podle Zadávací dokumentace v celém jeho rozsahu a se všemi jeho součástmi.</w:t>
      </w:r>
    </w:p>
    <w:p w:rsidR="00DD6392" w:rsidRPr="006B4351" w:rsidRDefault="00DD6392" w:rsidP="00DD6392">
      <w:pPr>
        <w:pStyle w:val="Odstavec2"/>
      </w:pPr>
      <w:r w:rsidRPr="006B4351">
        <w:t xml:space="preserve">Zhotovitel je povinen při provádění Díla postupovat dle způsobu provedení uvedeného v závazném podrobném popisu technologických postupů a prací, který </w:t>
      </w:r>
      <w:r w:rsidR="00DE3F03" w:rsidRPr="006B4351">
        <w:t>je součástí Nabídky.</w:t>
      </w:r>
    </w:p>
    <w:p w:rsidR="007E0004" w:rsidRPr="006B4351" w:rsidRDefault="00DD6392" w:rsidP="007E0004">
      <w:pPr>
        <w:pStyle w:val="Odstavec2"/>
      </w:pPr>
      <w:r w:rsidRPr="006B4351">
        <w:t>Objednatel zajistí pro realizaci Díla: povolení ke vstupu na pozemky a/nebo do prostor dotčených zhotovováním Díla (tj. na Staveniště), vytýčení podzemních inženýrských sítí a hranic Staveniště, poskytne součinnost při realizaci Díla v termínech do</w:t>
      </w:r>
      <w:r w:rsidR="00DE3F03" w:rsidRPr="006B4351">
        <w:t>hodnutých v Harmonogramu plnění</w:t>
      </w:r>
      <w:r w:rsidR="007E0004">
        <w:t xml:space="preserve">, seznámení Zhotovitele s vnitřními předpisy Objednatele, zejména v oblasti požární ochrany, </w:t>
      </w:r>
      <w:r w:rsidR="007E0004">
        <w:lastRenderedPageBreak/>
        <w:t>prevence závažných havárií a bezpečnos</w:t>
      </w:r>
      <w:r w:rsidR="00FC6BC7">
        <w:t xml:space="preserve">ti a ochrany zdraví při práci, </w:t>
      </w:r>
      <w:r w:rsidR="007E0004">
        <w:t>seznámení s technologickými schématy skladu Objednatele</w:t>
      </w:r>
      <w:r w:rsidR="00FC6BC7">
        <w:t xml:space="preserve"> a součinnost při vážení vytěženého a likvidovaného odpadu</w:t>
      </w:r>
      <w:r w:rsidR="00DE3F03" w:rsidRPr="006B4351">
        <w:t>.</w:t>
      </w:r>
    </w:p>
    <w:p w:rsidR="007267F6" w:rsidRDefault="007267F6" w:rsidP="00DD57F1">
      <w:pPr>
        <w:pStyle w:val="Odstavec2"/>
      </w:pPr>
      <w:r>
        <w:t>Zhotovitel je povinen před odvozem vytěženého odpadu vždy provést vážení na váze Objednatele nacházející se ve skladu pohonných hmot Objednatele</w:t>
      </w:r>
      <w:r w:rsidR="002A6D83">
        <w:t>, a to za součinnosti Objednatele. V případě, že Zhotovitel před odvozem odpadu k likvidaci neprovede vážení odpadu na váze Objednatele nacházející se ve skladu pohonných hmot Objednatele schválené Objednatelem, není oprávněn si takové předmětné množství odpadu neschválené Objednatelem zaúčtovat do Ceny díla.</w:t>
      </w:r>
    </w:p>
    <w:p w:rsidR="00DD57F1" w:rsidRPr="006B4351" w:rsidRDefault="00DD57F1" w:rsidP="00DD57F1">
      <w:pPr>
        <w:pStyle w:val="Odstavec2"/>
      </w:pPr>
      <w:r w:rsidRPr="006B4351">
        <w:t>Zhotovitel se zavazuje provést vyzkoušen</w:t>
      </w:r>
      <w:r w:rsidR="007A3204">
        <w:t xml:space="preserve">í Díla spočívající </w:t>
      </w:r>
      <w:r w:rsidR="007267F6">
        <w:t>v provedení zkoušek prokazujících parametry Díla, týká-li se</w:t>
      </w:r>
      <w:r w:rsidR="007A3204">
        <w:t> provedení zkoušky těsnosti kalových polí č</w:t>
      </w:r>
      <w:r w:rsidR="00D871B0">
        <w:t>. 1,</w:t>
      </w:r>
      <w:r w:rsidR="007A3204">
        <w:t xml:space="preserve"> č. 2</w:t>
      </w:r>
      <w:r w:rsidR="00D871B0">
        <w:t>, č. 3 a č. 4</w:t>
      </w:r>
      <w:r w:rsidR="007267F6">
        <w:t>, bude tato provedena Objednatelem (Zástupcem Objednatele z</w:t>
      </w:r>
      <w:r w:rsidR="00484C98">
        <w:t xml:space="preserve"> odbor</w:t>
      </w:r>
      <w:r w:rsidR="007267F6">
        <w:t>u</w:t>
      </w:r>
      <w:r w:rsidR="00AE2EB8">
        <w:t xml:space="preserve"> defektoskopie </w:t>
      </w:r>
      <w:r w:rsidR="00484C98">
        <w:t>ČEPRO,</w:t>
      </w:r>
      <w:r w:rsidR="00AE2EB8">
        <w:t xml:space="preserve"> </w:t>
      </w:r>
      <w:r w:rsidR="00484C98">
        <w:t>a.s.</w:t>
      </w:r>
      <w:r w:rsidR="007267F6">
        <w:t>) v součinnosti se Zhotovitelem</w:t>
      </w:r>
      <w:r w:rsidR="00484C98">
        <w:t>.</w:t>
      </w:r>
    </w:p>
    <w:p w:rsidR="00DD57F1" w:rsidRPr="006B4351" w:rsidRDefault="00DD57F1" w:rsidP="00DD57F1">
      <w:pPr>
        <w:pStyle w:val="Odstavec2"/>
      </w:pPr>
      <w:r w:rsidRPr="006B4351">
        <w:t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bude plnit úlohu koordinace provádění opatření k zajištění BOZP zaměstnanců Objednatele a Zhotovitele a postupů k jejich splnění.</w:t>
      </w:r>
    </w:p>
    <w:p w:rsidR="00DD6392" w:rsidRPr="006B4351" w:rsidRDefault="00DD57F1" w:rsidP="00DD57F1">
      <w:pPr>
        <w:pStyle w:val="Odstavec2"/>
      </w:pPr>
      <w:r w:rsidRPr="006B4351">
        <w:t>Objednatel v úloze zadavatele stavby určuje koordinátorem BOZP na Staveništi, podle ustanovení § 14 zákona č. 309/2006 Sb., o zajištění dalších podmínek BOZP, v platném znění, Zhotovitele jako právnickou osobu, který podpisem této smlouvy stvrzuje, že zabezpečí výkon této činnosti odborně způsobilou fyzickou osobou, jejíž jméno, příjmení, datum narození, bydliště, číslo osvědčení o způsobilosti a kontakty na ni předá objednateli nejpozději při podpisu protokolu o předání a převzetí Staveniště.</w:t>
      </w:r>
      <w:r w:rsidR="00484C98">
        <w:t xml:space="preserve"> </w:t>
      </w:r>
    </w:p>
    <w:p w:rsidR="00C30D59" w:rsidRPr="006B4351" w:rsidRDefault="007F3FC6" w:rsidP="003D29B6">
      <w:pPr>
        <w:pStyle w:val="lnek"/>
        <w:spacing w:before="360"/>
        <w:ind w:left="17"/>
      </w:pPr>
      <w:r w:rsidRPr="006B4351">
        <w:rPr>
          <w:rFonts w:eastAsiaTheme="minorEastAsia"/>
        </w:rPr>
        <w:t>Místo</w:t>
      </w:r>
      <w:r w:rsidRPr="006B4351">
        <w:t xml:space="preserve"> a doba plnění</w:t>
      </w:r>
    </w:p>
    <w:p w:rsidR="007F3FC6" w:rsidRPr="006B4351" w:rsidRDefault="007F3FC6" w:rsidP="007F3FC6">
      <w:pPr>
        <w:pStyle w:val="Odstavec2"/>
      </w:pPr>
      <w:r w:rsidRPr="006B4351">
        <w:t xml:space="preserve">Místem plnění je: </w:t>
      </w:r>
      <w:r w:rsidR="00DE3F03" w:rsidRPr="006B4351">
        <w:rPr>
          <w:rFonts w:cs="Arial"/>
        </w:rPr>
        <w:t>Sklad – Cerekvice nad Bystřicí (okres Jičín), sklad ve vlastnictví ČEPRO, a.s.</w:t>
      </w:r>
    </w:p>
    <w:p w:rsidR="007F3FC6" w:rsidRPr="006B4351" w:rsidRDefault="007F3FC6" w:rsidP="007F3FC6">
      <w:pPr>
        <w:pStyle w:val="Odstavec2"/>
      </w:pPr>
      <w:r w:rsidRPr="006B4351">
        <w:t xml:space="preserve">Místo plnění se nachází v areálu provozu Objednatele a Dílo </w:t>
      </w:r>
      <w:r w:rsidR="006F4D5B">
        <w:t>bude</w:t>
      </w:r>
      <w:r w:rsidRPr="006B4351">
        <w:t xml:space="preserve"> prováděno za provozu a případné náklady Zhotovitele vzniklé z důvodu této skutečnosti, např. z důvodu opatření k dodržování předpisů Objednatele platných v místě plnění a veškerém dotčeném okolí místa plnění, kde je </w:t>
      </w:r>
      <w:r w:rsidR="002334FE">
        <w:t>D</w:t>
      </w:r>
      <w:r w:rsidRPr="006B4351">
        <w:t>ílo Zhotovitelem prováděno, jsou zahrnuty v Ceně díla.</w:t>
      </w:r>
    </w:p>
    <w:p w:rsidR="007F3FC6" w:rsidRPr="006B4351" w:rsidRDefault="007F3FC6" w:rsidP="007F3FC6">
      <w:pPr>
        <w:pStyle w:val="Odstavec2"/>
      </w:pPr>
      <w:r w:rsidRPr="006B4351">
        <w:t>Termíny provedení Díla:</w:t>
      </w:r>
    </w:p>
    <w:p w:rsidR="007F3FC6" w:rsidRPr="00E50146" w:rsidRDefault="007F3FC6" w:rsidP="007F3FC6">
      <w:pPr>
        <w:pStyle w:val="Odstavec2"/>
        <w:numPr>
          <w:ilvl w:val="0"/>
          <w:numId w:val="0"/>
        </w:numPr>
        <w:ind w:left="567"/>
      </w:pPr>
      <w:r w:rsidRPr="00E50146">
        <w:t xml:space="preserve">Zahájení Díla: </w:t>
      </w:r>
      <w:r w:rsidR="00DE3F03" w:rsidRPr="00E50146">
        <w:tab/>
      </w:r>
      <w:r w:rsidR="002334FE">
        <w:t>Termín zahájení realizace Díla je předpokládán</w:t>
      </w:r>
      <w:r w:rsidR="00135F91">
        <w:t xml:space="preserve"> červen</w:t>
      </w:r>
      <w:r w:rsidR="002334FE">
        <w:t xml:space="preserve"> 2015, konkrétní d</w:t>
      </w:r>
      <w:r w:rsidR="00D871B0">
        <w:t>a</w:t>
      </w:r>
      <w:r w:rsidR="002334FE">
        <w:t>tum však bude Objednatelem Zhotoviteli sděleno ve výzvě k převzetí Staveniště v souladu s podmínkami VOP</w:t>
      </w:r>
      <w:r w:rsidR="007267F6">
        <w:t>, nebude-li dohodnuto mezi stranami výslovně jinak.</w:t>
      </w:r>
    </w:p>
    <w:p w:rsidR="007F3FC6" w:rsidRPr="006B4351" w:rsidRDefault="002334FE" w:rsidP="00D871B0">
      <w:pPr>
        <w:pStyle w:val="Odstavec2"/>
        <w:numPr>
          <w:ilvl w:val="0"/>
          <w:numId w:val="0"/>
        </w:numPr>
        <w:ind w:left="567"/>
      </w:pPr>
      <w:r>
        <w:t>Lhůta pro d</w:t>
      </w:r>
      <w:r w:rsidR="007F3FC6" w:rsidRPr="00E50146">
        <w:t xml:space="preserve">okončení </w:t>
      </w:r>
      <w:r>
        <w:t xml:space="preserve">a předání </w:t>
      </w:r>
      <w:r w:rsidR="007F3FC6" w:rsidRPr="00E50146">
        <w:t>Díla</w:t>
      </w:r>
      <w:r>
        <w:t xml:space="preserve"> je stanoven</w:t>
      </w:r>
      <w:r w:rsidR="007267F6">
        <w:t>a</w:t>
      </w:r>
      <w:r w:rsidR="00DE3F03" w:rsidRPr="00E50146">
        <w:tab/>
      </w:r>
      <w:r w:rsidR="00EE218D" w:rsidRPr="00E50146">
        <w:t xml:space="preserve">do </w:t>
      </w:r>
      <w:r w:rsidR="00135F91">
        <w:t>3</w:t>
      </w:r>
      <w:r w:rsidR="00E50146" w:rsidRPr="00E50146">
        <w:t>1. 7. 2015</w:t>
      </w:r>
      <w:r w:rsidR="00FF2EF3">
        <w:t>, přičemž konkrétní dílčí termíny a lhůty v rámci realizace Díla jsou stanoveny v Harmonogramu plnění.</w:t>
      </w:r>
    </w:p>
    <w:p w:rsidR="007F3FC6" w:rsidRPr="006B4351" w:rsidRDefault="002F6183" w:rsidP="007F3FC6">
      <w:pPr>
        <w:pStyle w:val="Odstavec2"/>
        <w:numPr>
          <w:ilvl w:val="0"/>
          <w:numId w:val="0"/>
        </w:numPr>
        <w:ind w:left="567"/>
      </w:pPr>
      <w:r w:rsidRPr="006B4351">
        <w:t>Zhotovitel je povinen realizovat Dílo v termínech uvedených v Harmonogramu plnění uvedeném v Nabídce, resp. odsouhlaseném Objednatelem (dále jen „</w:t>
      </w:r>
      <w:r w:rsidRPr="006B4351">
        <w:rPr>
          <w:b/>
          <w:i/>
        </w:rPr>
        <w:t>Harmonogram plnění</w:t>
      </w:r>
      <w:r w:rsidRPr="006B4351">
        <w:t>“)</w:t>
      </w:r>
      <w:r w:rsidR="002334FE">
        <w:t>, tj. Harmonogram plnění zpracovaný Zhotovitelem na základě a dle požadavků Objednatele bude ze strany Objednatele schválen a bude připojen k této Smlouvě</w:t>
      </w:r>
      <w:r w:rsidR="002E7307">
        <w:t xml:space="preserve"> jako příloha č. 2 Smlouvy</w:t>
      </w:r>
      <w:r w:rsidR="002334FE">
        <w:t>.</w:t>
      </w:r>
    </w:p>
    <w:p w:rsidR="007F3FC6" w:rsidRPr="006B4351" w:rsidRDefault="007F3FC6" w:rsidP="007F3FC6">
      <w:pPr>
        <w:pStyle w:val="Odstavec2"/>
      </w:pPr>
      <w:r w:rsidRPr="006B4351">
        <w:t xml:space="preserve">Dílo bude prováděno </w:t>
      </w:r>
      <w:r w:rsidR="002334FE">
        <w:t xml:space="preserve">dle Závazných podkladů </w:t>
      </w:r>
      <w:r w:rsidRPr="006B4351">
        <w:t xml:space="preserve">po jednotlivých etapách stanovených v Harmonogramu </w:t>
      </w:r>
      <w:r w:rsidR="00E322F9" w:rsidRPr="006B4351">
        <w:t>plnění</w:t>
      </w:r>
      <w:r w:rsidR="00DE3F03" w:rsidRPr="006B4351">
        <w:t>.</w:t>
      </w:r>
      <w:r w:rsidR="007267F6">
        <w:t xml:space="preserve"> První etapa spočívá v provedení části Díla na kalových polích č. 1 a 2, druhá etapa bude provedena následně na kalových polích č. 3 a 4.</w:t>
      </w:r>
    </w:p>
    <w:p w:rsidR="007F3FC6" w:rsidRPr="006B4351" w:rsidRDefault="007F3FC6" w:rsidP="007F3FC6">
      <w:pPr>
        <w:pStyle w:val="Odstavec2"/>
      </w:pPr>
      <w:r w:rsidRPr="006B4351">
        <w:t>Řádné provedení Díla nevyžaduje odstávku/y provozu Objednatele či je</w:t>
      </w:r>
      <w:r w:rsidR="006B4351" w:rsidRPr="006B4351">
        <w:t>ho části.</w:t>
      </w:r>
    </w:p>
    <w:p w:rsidR="002F6183" w:rsidRPr="006B4351" w:rsidRDefault="002F6183" w:rsidP="002F6183">
      <w:pPr>
        <w:pStyle w:val="Odstavec2"/>
      </w:pPr>
      <w:r w:rsidRPr="006B4351">
        <w:t>Přejímka Staveniště</w:t>
      </w:r>
    </w:p>
    <w:p w:rsidR="002F6183" w:rsidRPr="006B4351" w:rsidRDefault="002F6183" w:rsidP="002F6183">
      <w:pPr>
        <w:pStyle w:val="Odstavec3"/>
      </w:pPr>
      <w:r w:rsidRPr="006B4351">
        <w:t xml:space="preserve">Přejímka Staveniště proběhne </w:t>
      </w:r>
      <w:r w:rsidR="00347F55">
        <w:t>podle provedených etap</w:t>
      </w:r>
      <w:r w:rsidR="00AE2EB8">
        <w:t>.</w:t>
      </w:r>
    </w:p>
    <w:p w:rsidR="002F6183" w:rsidRPr="006B4351" w:rsidRDefault="00521FE0" w:rsidP="002F6183">
      <w:pPr>
        <w:pStyle w:val="Odstavec3"/>
      </w:pPr>
      <w:r w:rsidRPr="006B4351">
        <w:t>Součástí předání a převzetí Staveniště je i předání dokumentů stanovených obecně závaznými právními předpisy a níže uvedených dokumentů Objednatelem Zhotoviteli, pokud nebyly tyto dokumenty předány již dříve, a to:</w:t>
      </w:r>
    </w:p>
    <w:p w:rsidR="00521FE0" w:rsidRPr="006B4351" w:rsidRDefault="00521FE0" w:rsidP="00521FE0">
      <w:pPr>
        <w:pStyle w:val="Odstavec3"/>
        <w:numPr>
          <w:ilvl w:val="2"/>
          <w:numId w:val="26"/>
        </w:numPr>
      </w:pPr>
      <w:r w:rsidRPr="006B4351">
        <w:t>vyznačení bodů pro napojení odběrných míst vody, kanalizace, elektrické energie, či případně jiných médií,</w:t>
      </w:r>
    </w:p>
    <w:p w:rsidR="00521FE0" w:rsidRPr="006B4351" w:rsidRDefault="00521FE0" w:rsidP="00521FE0">
      <w:pPr>
        <w:pStyle w:val="Odstavec3"/>
        <w:numPr>
          <w:ilvl w:val="2"/>
          <w:numId w:val="26"/>
        </w:numPr>
      </w:pPr>
      <w:r w:rsidRPr="006B4351">
        <w:lastRenderedPageBreak/>
        <w:t>podm</w:t>
      </w:r>
      <w:r w:rsidRPr="006B4351">
        <w:rPr>
          <w:rFonts w:cs="Arial"/>
        </w:rPr>
        <w:t>í</w:t>
      </w:r>
      <w:r w:rsidRPr="006B4351">
        <w:t>nky vztahuj</w:t>
      </w:r>
      <w:r w:rsidRPr="006B4351">
        <w:rPr>
          <w:rFonts w:cs="Arial"/>
        </w:rPr>
        <w:t>í</w:t>
      </w:r>
      <w:r w:rsidRPr="006B4351">
        <w:t>c</w:t>
      </w:r>
      <w:r w:rsidRPr="006B4351">
        <w:rPr>
          <w:rFonts w:cs="Arial"/>
        </w:rPr>
        <w:t>í</w:t>
      </w:r>
      <w:r w:rsidRPr="006B4351">
        <w:t xml:space="preserve"> se k ochran</w:t>
      </w:r>
      <w:r w:rsidRPr="006B4351">
        <w:rPr>
          <w:rFonts w:cs="Arial"/>
        </w:rPr>
        <w:t>ě</w:t>
      </w:r>
      <w:r w:rsidRPr="006B4351">
        <w:t xml:space="preserve"> </w:t>
      </w:r>
      <w:r w:rsidRPr="006B4351">
        <w:rPr>
          <w:rFonts w:cs="Arial"/>
        </w:rPr>
        <w:t>ž</w:t>
      </w:r>
      <w:r w:rsidRPr="006B4351">
        <w:t>ivotn</w:t>
      </w:r>
      <w:r w:rsidRPr="006B4351">
        <w:rPr>
          <w:rFonts w:cs="Arial"/>
        </w:rPr>
        <w:t>í</w:t>
      </w:r>
      <w:r w:rsidRPr="006B4351">
        <w:t>ho prost</w:t>
      </w:r>
      <w:r w:rsidRPr="006B4351">
        <w:rPr>
          <w:rFonts w:cs="Arial"/>
        </w:rPr>
        <w:t>ř</w:t>
      </w:r>
      <w:r w:rsidRPr="006B4351">
        <w:t>ed</w:t>
      </w:r>
      <w:r w:rsidRPr="006B4351">
        <w:rPr>
          <w:rFonts w:cs="Arial"/>
        </w:rPr>
        <w:t>í</w:t>
      </w:r>
      <w:r w:rsidRPr="006B4351">
        <w:t xml:space="preserve"> (zejm</w:t>
      </w:r>
      <w:r w:rsidRPr="006B4351">
        <w:rPr>
          <w:rFonts w:cs="Arial"/>
        </w:rPr>
        <w:t>é</w:t>
      </w:r>
      <w:r w:rsidRPr="006B4351">
        <w:t>na v ot</w:t>
      </w:r>
      <w:r w:rsidRPr="006B4351">
        <w:rPr>
          <w:rFonts w:cs="Arial"/>
        </w:rPr>
        <w:t>á</w:t>
      </w:r>
      <w:r w:rsidRPr="006B4351">
        <w:t>zk</w:t>
      </w:r>
      <w:r w:rsidRPr="006B4351">
        <w:rPr>
          <w:rFonts w:cs="Arial"/>
        </w:rPr>
        <w:t>á</w:t>
      </w:r>
      <w:r w:rsidRPr="006B4351">
        <w:t>ch zelen</w:t>
      </w:r>
      <w:r w:rsidRPr="006B4351">
        <w:rPr>
          <w:rFonts w:cs="Arial"/>
        </w:rPr>
        <w:t>ě</w:t>
      </w:r>
      <w:r w:rsidRPr="006B4351">
        <w:t>, manipulace s odpady, odvod zne</w:t>
      </w:r>
      <w:r w:rsidRPr="006B4351">
        <w:rPr>
          <w:rFonts w:cs="Arial"/>
        </w:rPr>
        <w:t>č</w:t>
      </w:r>
      <w:r w:rsidRPr="006B4351">
        <w:t>i</w:t>
      </w:r>
      <w:r w:rsidRPr="006B4351">
        <w:rPr>
          <w:rFonts w:cs="Arial"/>
        </w:rPr>
        <w:t>š</w:t>
      </w:r>
      <w:r w:rsidRPr="006B4351">
        <w:t>t</w:t>
      </w:r>
      <w:r w:rsidRPr="006B4351">
        <w:rPr>
          <w:rFonts w:cs="Arial"/>
        </w:rPr>
        <w:t>ě</w:t>
      </w:r>
      <w:r w:rsidRPr="006B4351">
        <w:t>n</w:t>
      </w:r>
      <w:r w:rsidRPr="006B4351">
        <w:rPr>
          <w:rFonts w:cs="Arial"/>
        </w:rPr>
        <w:t>ý</w:t>
      </w:r>
      <w:r w:rsidRPr="006B4351">
        <w:t>ch vod apod.),</w:t>
      </w:r>
    </w:p>
    <w:p w:rsidR="00521FE0" w:rsidRPr="006B4351" w:rsidRDefault="00521FE0" w:rsidP="00521FE0">
      <w:pPr>
        <w:pStyle w:val="Odstavec3"/>
      </w:pPr>
      <w:r w:rsidRPr="006B4351">
        <w:t>Zhotovitel je povinen předat vyklizené Staveniště bez vad ve lhůtě předání a převzetí Díla.</w:t>
      </w:r>
    </w:p>
    <w:p w:rsidR="005C5D01" w:rsidRDefault="005C5D01" w:rsidP="003D29B6">
      <w:pPr>
        <w:pStyle w:val="lnek"/>
        <w:spacing w:before="360"/>
        <w:ind w:left="17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AE2EB8" w:rsidRDefault="005C5D01" w:rsidP="00AE2EB8">
      <w:pPr>
        <w:pStyle w:val="Odstavec2"/>
      </w:pPr>
      <w:bookmarkStart w:id="0" w:name="_Ref321240324"/>
      <w:r w:rsidRPr="005C5D01">
        <w:t>Celková Cena díla v plném rozsahu dle této Smlouvy je stanovena jako smluvní cena bez DPH</w:t>
      </w:r>
      <w:r w:rsidR="002334FE">
        <w:t xml:space="preserve"> a bude vypočtena na základě jednotkových cen uvedených v Nabídce Zhotovitele</w:t>
      </w:r>
      <w:r w:rsidR="002E7307">
        <w:t xml:space="preserve"> a zároveň v příloze č. 1 této Smlouvy</w:t>
      </w:r>
      <w:r w:rsidR="002334FE">
        <w:t xml:space="preserve"> dle skutečně provedených prací, služeb a dodávek</w:t>
      </w:r>
      <w:r w:rsidR="00FF2EF3">
        <w:t xml:space="preserve"> v souladu se Závaznými podklad</w:t>
      </w:r>
      <w:bookmarkEnd w:id="0"/>
      <w:r w:rsidR="00AE2EB8">
        <w:t xml:space="preserve">y </w:t>
      </w:r>
      <w:r w:rsidRPr="005C5D01">
        <w:t>(dále a výše jen „</w:t>
      </w:r>
      <w:r w:rsidRPr="00AE2EB8">
        <w:rPr>
          <w:b/>
          <w:i/>
        </w:rPr>
        <w:t>Cena díla</w:t>
      </w:r>
      <w:r w:rsidRPr="005C5D01">
        <w:t>“).</w:t>
      </w:r>
      <w:r w:rsidR="007267F6">
        <w:t xml:space="preserve"> </w:t>
      </w:r>
    </w:p>
    <w:p w:rsidR="005C5D01" w:rsidRPr="005C5D01" w:rsidRDefault="007267F6" w:rsidP="00AE2EB8">
      <w:pPr>
        <w:pStyle w:val="Odstavec2"/>
      </w:pPr>
      <w:r>
        <w:t>Cena díla bude rozdělena a vypočtena dle sjednaných jednotkových cen zvlášť pro každou etapu Díla.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FF2EF3" w:rsidRDefault="00FF2EF3" w:rsidP="00FF2EF3">
      <w:pPr>
        <w:pStyle w:val="Odstavec2"/>
      </w:pPr>
      <w:r w:rsidRPr="00C74D5D">
        <w:t>Smluvní strany se dohodly, že Zhotovitel nemá v průběhu plnění</w:t>
      </w:r>
      <w:r w:rsidRPr="00727DF9">
        <w:t xml:space="preserve"> Smlouvy </w:t>
      </w:r>
      <w:r w:rsidRPr="00C74D5D">
        <w:t>nárok na zálohy ze strany Objednatele. Objednatel není povinen hradit v průběhu plnění S</w:t>
      </w:r>
      <w:r w:rsidRPr="00727DF9">
        <w:t xml:space="preserve">mlouvy </w:t>
      </w:r>
      <w:r w:rsidRPr="00C74D5D">
        <w:t>přiměřenou část o</w:t>
      </w:r>
      <w:r>
        <w:t xml:space="preserve">dměny ve smyslu </w:t>
      </w:r>
      <w:proofErr w:type="spellStart"/>
      <w:r>
        <w:t>ust</w:t>
      </w:r>
      <w:proofErr w:type="spellEnd"/>
      <w:r>
        <w:t>. § 2611 zákona</w:t>
      </w:r>
      <w:r w:rsidRPr="00C74D5D">
        <w:t xml:space="preserve"> č. 89/2012 Sb., občanský záko</w:t>
      </w:r>
      <w:r>
        <w:t>ník, v platném znění, není-li mezi Smluvními stranami dohodnuto jinak.</w:t>
      </w:r>
    </w:p>
    <w:p w:rsidR="005C5D01" w:rsidRPr="004E1521" w:rsidRDefault="005C5D01" w:rsidP="003D29B6">
      <w:pPr>
        <w:pStyle w:val="lnek"/>
        <w:spacing w:before="360"/>
        <w:ind w:left="17"/>
      </w:pPr>
      <w:r w:rsidRPr="004E1521">
        <w:t xml:space="preserve">Platební </w:t>
      </w:r>
      <w:r w:rsidRPr="004E1521">
        <w:rPr>
          <w:rFonts w:eastAsiaTheme="minorEastAsia"/>
        </w:rPr>
        <w:t>podmínky</w:t>
      </w:r>
    </w:p>
    <w:p w:rsidR="005C5D01" w:rsidRPr="004E1521" w:rsidRDefault="005C5D01" w:rsidP="005C5D01">
      <w:pPr>
        <w:pStyle w:val="Odstavec2"/>
      </w:pPr>
      <w:r w:rsidRPr="004E1521">
        <w:t>Cena díla bude Objednatelem:</w:t>
      </w:r>
    </w:p>
    <w:p w:rsidR="005C5D01" w:rsidRPr="004E1521" w:rsidRDefault="005C5D01" w:rsidP="005C5D01">
      <w:pPr>
        <w:pStyle w:val="Odstavec2"/>
        <w:numPr>
          <w:ilvl w:val="0"/>
          <w:numId w:val="0"/>
        </w:numPr>
        <w:ind w:left="567"/>
      </w:pPr>
      <w:r w:rsidRPr="004E1521">
        <w:t xml:space="preserve">uhrazena </w:t>
      </w:r>
      <w:r w:rsidR="007267F6">
        <w:t>po částech vždy</w:t>
      </w:r>
      <w:r w:rsidR="00AE2EB8">
        <w:t xml:space="preserve"> po dokončení</w:t>
      </w:r>
      <w:r w:rsidR="000C6000">
        <w:t xml:space="preserve"> </w:t>
      </w:r>
      <w:r w:rsidR="00347F55">
        <w:t xml:space="preserve">jednotlivých </w:t>
      </w:r>
      <w:r w:rsidR="000C6000">
        <w:t>etap Díla</w:t>
      </w:r>
      <w:r w:rsidRPr="004E1521">
        <w:t xml:space="preserve"> na základě faktury – daňového dokladu (dále jen „</w:t>
      </w:r>
      <w:r w:rsidRPr="004E1521">
        <w:rPr>
          <w:b/>
          <w:i/>
        </w:rPr>
        <w:t>faktura</w:t>
      </w:r>
      <w:r w:rsidRPr="004E1521">
        <w:t>“) vystavené po předání a převzetí Díla</w:t>
      </w:r>
      <w:r w:rsidR="007267F6">
        <w:t>, resp. konkrétní etapy Díla</w:t>
      </w:r>
      <w:r w:rsidRPr="004E1521">
        <w:t xml:space="preserve">, o které </w:t>
      </w:r>
      <w:r w:rsidR="00E00091" w:rsidRPr="004E1521">
        <w:t xml:space="preserve">bude sepsán Protokol o předání </w:t>
      </w:r>
      <w:r w:rsidRPr="004E1521">
        <w:t>a převzetí</w:t>
      </w:r>
      <w:r w:rsidR="007267F6">
        <w:t>, pouze v případě, že se Smluvní strany dohodnou, že z časového hlediska Objednatel převezme Dílo jako celek, bude Cena díla Zhotoviteli uhrazen jednorázově po řádném a úplném dokončení celého Díla na základě jedné faktury vystavené pro předání a převzetí Díla, o kterém bude sepsán Protokol o předání a převzetí</w:t>
      </w:r>
      <w:r w:rsidRPr="004E1521">
        <w:t>.</w:t>
      </w:r>
    </w:p>
    <w:p w:rsidR="005C5D01" w:rsidRPr="004E1521" w:rsidRDefault="005C5D01" w:rsidP="00721C8A">
      <w:pPr>
        <w:pStyle w:val="Odstavec2"/>
      </w:pPr>
      <w:r w:rsidRPr="004E1521">
        <w:t>Smluvní strany si zádržné nesjednávají.</w:t>
      </w:r>
      <w:r w:rsidR="00721C8A" w:rsidRPr="004E1521">
        <w:t xml:space="preserve"> </w:t>
      </w:r>
    </w:p>
    <w:p w:rsidR="00E00091" w:rsidRPr="004E1521" w:rsidRDefault="00AE2EB8" w:rsidP="00E00091">
      <w:pPr>
        <w:pStyle w:val="Odstavec2"/>
      </w:pPr>
      <w:r>
        <w:t>Adresa</w:t>
      </w:r>
      <w:r w:rsidR="00E00091" w:rsidRPr="004E1521">
        <w:t xml:space="preserve">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ČEPRO, a.s., FÚ, Odbor účtárny, Hněvice 62, 411 08 Štětí;</w:t>
      </w:r>
    </w:p>
    <w:p w:rsidR="000C6000" w:rsidRDefault="000C6000" w:rsidP="00E34EAC">
      <w:pPr>
        <w:pStyle w:val="Odstavec2"/>
        <w:numPr>
          <w:ilvl w:val="0"/>
          <w:numId w:val="0"/>
        </w:numPr>
        <w:tabs>
          <w:tab w:val="left" w:pos="3261"/>
        </w:tabs>
        <w:ind w:left="567"/>
      </w:pPr>
      <w:r w:rsidRPr="00B71BAF">
        <w:rPr>
          <w:rFonts w:cs="Arial"/>
        </w:rPr>
        <w:t xml:space="preserve">V případě, že </w:t>
      </w:r>
      <w:r>
        <w:rPr>
          <w:rFonts w:cs="Arial"/>
        </w:rPr>
        <w:t>Z</w:t>
      </w:r>
      <w:r w:rsidRPr="00B71BAF">
        <w:rPr>
          <w:rFonts w:cs="Arial"/>
        </w:rPr>
        <w:t xml:space="preserve">hotovitel bude mít zájem vystavit a doručit </w:t>
      </w:r>
      <w:r>
        <w:rPr>
          <w:rFonts w:cs="Arial"/>
        </w:rPr>
        <w:t>O</w:t>
      </w:r>
      <w:r w:rsidRPr="00B71BAF">
        <w:rPr>
          <w:rFonts w:cs="Arial"/>
        </w:rPr>
        <w:t xml:space="preserve">bjednateli fakturu v elektronické verzi, bude mezi stranami uzavřena samostatná dohoda o elektronické fakturaci, kde </w:t>
      </w:r>
      <w:r>
        <w:rPr>
          <w:rFonts w:cs="Arial"/>
        </w:rPr>
        <w:t>S</w:t>
      </w:r>
      <w:r w:rsidRPr="00B71BAF">
        <w:rPr>
          <w:rFonts w:cs="Arial"/>
        </w:rPr>
        <w:t>mluvní strany ujednají bližší náležitosti veškerých tím dotčených dokumentů</w:t>
      </w:r>
      <w:r>
        <w:rPr>
          <w:rFonts w:cs="Arial"/>
        </w:rP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151539">
        <w:t>30</w:t>
      </w:r>
      <w:r w:rsidRPr="00E00091">
        <w:t xml:space="preserve"> dnů od jejího doručení Objednateli</w:t>
      </w:r>
      <w:r>
        <w:t>.</w:t>
      </w:r>
    </w:p>
    <w:p w:rsidR="007B1761" w:rsidRDefault="007B1761" w:rsidP="003D29B6">
      <w:pPr>
        <w:pStyle w:val="lnek"/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EA4E15" w:rsidRDefault="00AE3CC7" w:rsidP="00E322F9">
      <w:pPr>
        <w:pStyle w:val="Odstavec2"/>
      </w:pPr>
      <w:r w:rsidRPr="00EA4E15">
        <w:t>Předání a převzetí Díla se uskuteční</w:t>
      </w:r>
      <w:r w:rsidR="0002416C">
        <w:t xml:space="preserve"> </w:t>
      </w:r>
      <w:r w:rsidR="007267F6">
        <w:t xml:space="preserve">dle dohody stran </w:t>
      </w:r>
      <w:r w:rsidR="0002416C">
        <w:t xml:space="preserve">buď jako celek </w:t>
      </w:r>
      <w:r w:rsidR="007267F6">
        <w:t xml:space="preserve">po řádném a úplném dokončení Díla, tj. všech etap </w:t>
      </w:r>
      <w:r w:rsidR="0002416C">
        <w:t>nebo</w:t>
      </w:r>
      <w:r w:rsidRPr="00EA4E15">
        <w:t xml:space="preserve"> </w:t>
      </w:r>
      <w:r w:rsidR="002113B1">
        <w:t xml:space="preserve">po částech, vždy </w:t>
      </w:r>
      <w:r w:rsidR="00E322F9" w:rsidRPr="00EA4E15">
        <w:t>po</w:t>
      </w:r>
      <w:r w:rsidR="006B4351" w:rsidRPr="00EA4E15">
        <w:t xml:space="preserve"> řádném </w:t>
      </w:r>
      <w:r w:rsidR="006B4351" w:rsidRPr="00E50146">
        <w:t xml:space="preserve">dokončení </w:t>
      </w:r>
      <w:r w:rsidR="007267F6">
        <w:t xml:space="preserve">v ustanovení 3.4 Smlouvy definované </w:t>
      </w:r>
      <w:r w:rsidR="006432F8" w:rsidRPr="00E50146">
        <w:t>jednotliv</w:t>
      </w:r>
      <w:r w:rsidR="002113B1">
        <w:t>é etapy</w:t>
      </w:r>
      <w:r w:rsidR="006B4351" w:rsidRPr="00EA4E15">
        <w:t xml:space="preserve"> Díla</w:t>
      </w:r>
      <w:r w:rsidR="004D049A">
        <w:t xml:space="preserve">, </w:t>
      </w:r>
      <w:r w:rsidR="002113B1">
        <w:t>v souladu s VOP</w:t>
      </w:r>
      <w:r w:rsidR="006B4351" w:rsidRPr="00EA4E15">
        <w:t>.</w:t>
      </w:r>
    </w:p>
    <w:p w:rsidR="006F5596" w:rsidRPr="00EA4E15" w:rsidRDefault="00BE2E82" w:rsidP="00E322F9">
      <w:pPr>
        <w:pStyle w:val="Odstavec2"/>
      </w:pPr>
      <w:bookmarkStart w:id="1" w:name="_Ref334787654"/>
      <w:r w:rsidRPr="00EA4E15">
        <w:t xml:space="preserve">Pro účely přejímky a před přejímkou je Zhotovitel povinen včas připravit a předložit v českém jazyce </w:t>
      </w:r>
      <w:r w:rsidR="00CD1BFE" w:rsidRPr="00EA4E15">
        <w:t>kromě veškerých dokladů sjednaných jinde ve Smlouvě a</w:t>
      </w:r>
      <w:r w:rsidRPr="00EA4E15">
        <w:t xml:space="preserve"> plynoucí</w:t>
      </w:r>
      <w:r w:rsidR="00CD1BFE" w:rsidRPr="00EA4E15">
        <w:t>ch</w:t>
      </w:r>
      <w:r w:rsidRPr="00EA4E15">
        <w:t xml:space="preserve"> z obecně závazných právních a technických předpisů</w:t>
      </w:r>
      <w:r w:rsidR="00CD1BFE" w:rsidRPr="00EA4E15">
        <w:t xml:space="preserve"> i následující doklady</w:t>
      </w:r>
      <w:r w:rsidRPr="00EA4E15">
        <w:t>:</w:t>
      </w:r>
      <w:bookmarkEnd w:id="1"/>
    </w:p>
    <w:p w:rsidR="002113B1" w:rsidRDefault="004D049A" w:rsidP="006F5596">
      <w:pPr>
        <w:pStyle w:val="Body"/>
      </w:pPr>
      <w:r>
        <w:t>F</w:t>
      </w:r>
      <w:r w:rsidR="00E50146">
        <w:t>otodokumen</w:t>
      </w:r>
      <w:r w:rsidR="00EE218D">
        <w:t>t</w:t>
      </w:r>
      <w:r w:rsidR="00E50146">
        <w:t>a</w:t>
      </w:r>
      <w:r w:rsidR="00EE218D">
        <w:t>ce</w:t>
      </w:r>
      <w:r w:rsidR="0019409F">
        <w:t xml:space="preserve"> (</w:t>
      </w:r>
      <w:r>
        <w:t xml:space="preserve">stav před, během a po </w:t>
      </w:r>
      <w:r w:rsidR="007267F6">
        <w:t>do</w:t>
      </w:r>
      <w:r>
        <w:t>končení</w:t>
      </w:r>
      <w:r w:rsidR="007267F6">
        <w:t xml:space="preserve"> Díla</w:t>
      </w:r>
      <w:r>
        <w:t>)</w:t>
      </w:r>
    </w:p>
    <w:p w:rsidR="006F5596" w:rsidRPr="00EA4E15" w:rsidRDefault="002113B1" w:rsidP="006F5596">
      <w:pPr>
        <w:pStyle w:val="Body"/>
      </w:pPr>
      <w:r>
        <w:t>S</w:t>
      </w:r>
      <w:r w:rsidR="00EE218D">
        <w:t>tavební deník</w:t>
      </w:r>
    </w:p>
    <w:p w:rsidR="006F5596" w:rsidRPr="00EA4E15" w:rsidRDefault="006F5596" w:rsidP="006F5596">
      <w:pPr>
        <w:pStyle w:val="Body"/>
      </w:pPr>
      <w:r w:rsidRPr="00EA4E15">
        <w:t>technick</w:t>
      </w:r>
      <w:r w:rsidR="002113B1">
        <w:t>á</w:t>
      </w:r>
      <w:r w:rsidRPr="00EA4E15">
        <w:t xml:space="preserve"> specifikac</w:t>
      </w:r>
      <w:r w:rsidR="002113B1">
        <w:t>e</w:t>
      </w:r>
      <w:r w:rsidRPr="00EA4E15">
        <w:t xml:space="preserve">, atesty, prohlášení o shodě, certifikáty a osvědčení o jakosti materiálů a výrobků použitých pro realizaci </w:t>
      </w:r>
      <w:r w:rsidR="002113B1">
        <w:t>D</w:t>
      </w:r>
      <w:r w:rsidRPr="00EA4E15">
        <w:t>íla</w:t>
      </w:r>
    </w:p>
    <w:p w:rsidR="002113B1" w:rsidRDefault="004D049A" w:rsidP="006F5596">
      <w:pPr>
        <w:pStyle w:val="Body"/>
      </w:pPr>
      <w:r>
        <w:t>evidenční list pro přepravu nebezpečných odpadů po území ČR</w:t>
      </w:r>
    </w:p>
    <w:p w:rsidR="002113B1" w:rsidRDefault="006F5596" w:rsidP="006F5596">
      <w:pPr>
        <w:pStyle w:val="Body"/>
      </w:pPr>
      <w:r w:rsidRPr="00EA4E15">
        <w:t xml:space="preserve">doklady o ekologické likvidaci veškerých odpadů vzniklých prováděním </w:t>
      </w:r>
      <w:r w:rsidR="002113B1">
        <w:t>D</w:t>
      </w:r>
      <w:r w:rsidRPr="00EA4E15">
        <w:t>íla</w:t>
      </w:r>
    </w:p>
    <w:p w:rsidR="002113B1" w:rsidRDefault="002113B1" w:rsidP="006F5596">
      <w:pPr>
        <w:pStyle w:val="Body"/>
      </w:pPr>
      <w:r>
        <w:t>vážní lístky</w:t>
      </w:r>
    </w:p>
    <w:p w:rsidR="00CD1BFE" w:rsidRPr="004E1521" w:rsidRDefault="00CD1BFE" w:rsidP="00E322F9">
      <w:pPr>
        <w:pStyle w:val="Odstavec2"/>
      </w:pPr>
      <w:r w:rsidRPr="00EA4E15">
        <w:lastRenderedPageBreak/>
        <w:t>Není-li v jiných ustanoveních Smlouvy uvedeno jinak, Zhotovitel předá Objednateli</w:t>
      </w:r>
      <w:r w:rsidRPr="00CD1BFE">
        <w:t xml:space="preserve"> dokumenty </w:t>
      </w:r>
      <w:r w:rsidRPr="004E1521">
        <w:t>v tomto počtu vyhotovení:</w:t>
      </w:r>
    </w:p>
    <w:p w:rsidR="00CD1BFE" w:rsidRPr="004E1521" w:rsidRDefault="006B4351" w:rsidP="00CD1BFE">
      <w:pPr>
        <w:pStyle w:val="Odstavec2"/>
        <w:numPr>
          <w:ilvl w:val="0"/>
          <w:numId w:val="29"/>
        </w:numPr>
      </w:pPr>
      <w:r w:rsidRPr="004E1521">
        <w:t xml:space="preserve">1 </w:t>
      </w:r>
      <w:r w:rsidR="00CD1BFE" w:rsidRPr="004E1521">
        <w:t>x v listinné podobě;</w:t>
      </w:r>
    </w:p>
    <w:p w:rsidR="00CD1BFE" w:rsidRPr="004E1521" w:rsidRDefault="006B4351" w:rsidP="00CD1BFE">
      <w:pPr>
        <w:pStyle w:val="Odstavec2"/>
        <w:numPr>
          <w:ilvl w:val="0"/>
          <w:numId w:val="29"/>
        </w:numPr>
      </w:pPr>
      <w:r w:rsidRPr="004E1521">
        <w:t xml:space="preserve">1 </w:t>
      </w:r>
      <w:r w:rsidR="00CD1BFE" w:rsidRPr="004E1521">
        <w:t xml:space="preserve">x v elektronické podobě ve formátu </w:t>
      </w:r>
      <w:proofErr w:type="spellStart"/>
      <w:r w:rsidRPr="004E1521">
        <w:t>pdf</w:t>
      </w:r>
      <w:proofErr w:type="spellEnd"/>
    </w:p>
    <w:p w:rsidR="00CD1BFE" w:rsidRPr="004E1521" w:rsidRDefault="00CD1BFE" w:rsidP="003D29B6">
      <w:pPr>
        <w:pStyle w:val="lnek"/>
        <w:spacing w:before="360"/>
        <w:ind w:left="17"/>
      </w:pPr>
      <w:r w:rsidRPr="004E1521">
        <w:rPr>
          <w:rFonts w:eastAsiaTheme="minorEastAsia"/>
        </w:rPr>
        <w:t>Záruka</w:t>
      </w:r>
      <w:r w:rsidR="002113B1">
        <w:t>, práva z vadného plněné</w:t>
      </w:r>
    </w:p>
    <w:p w:rsidR="002113B1" w:rsidRDefault="002113B1" w:rsidP="00CD1BFE">
      <w:pPr>
        <w:pStyle w:val="Odstavec2"/>
      </w:pPr>
      <w:r>
        <w:t>Smluvní strany se dohodly, že práva Objednatele z vadného plnění a záruky bude Objednatel uplatňovat v souladu s platnou legislativou a dle postupu sjednaného v této Smlouvě.</w:t>
      </w:r>
    </w:p>
    <w:p w:rsidR="002E7307" w:rsidRDefault="002113B1" w:rsidP="00CD1BFE">
      <w:pPr>
        <w:pStyle w:val="Odstavec2"/>
      </w:pPr>
      <w:r>
        <w:t>Zhotovitel poskytuje Objednateli záruku v délce 36 měsíců.</w:t>
      </w:r>
    </w:p>
    <w:p w:rsidR="002E7307" w:rsidRDefault="002E7307" w:rsidP="002E7307">
      <w:pPr>
        <w:pStyle w:val="Odstavec2"/>
      </w:pPr>
      <w:r w:rsidRPr="00C7269C">
        <w:t xml:space="preserve">Zhotovitel je povinen </w:t>
      </w:r>
      <w:r>
        <w:t xml:space="preserve">zjištěné </w:t>
      </w:r>
      <w:r w:rsidRPr="00C7269C">
        <w:t xml:space="preserve">vady </w:t>
      </w:r>
      <w:r>
        <w:t xml:space="preserve">plnění </w:t>
      </w:r>
      <w:r w:rsidRPr="00C7269C">
        <w:t>o</w:t>
      </w:r>
      <w:r w:rsidRPr="00D1710B">
        <w:rPr>
          <w:rFonts w:eastAsia="MS Mincho"/>
        </w:rPr>
        <w:t>d</w:t>
      </w:r>
      <w:r>
        <w:t xml:space="preserve">stranit nejpozději </w:t>
      </w:r>
      <w:r w:rsidRPr="0019409F">
        <w:t>do 10 ti pracovních</w:t>
      </w:r>
      <w:r w:rsidRPr="00C7269C">
        <w:t xml:space="preserve"> dnů.</w:t>
      </w:r>
    </w:p>
    <w:p w:rsidR="00CD1BFE" w:rsidRPr="004E1521" w:rsidRDefault="002E7307" w:rsidP="0019409F">
      <w:pPr>
        <w:pStyle w:val="Odstavec2"/>
      </w:pPr>
      <w:r w:rsidRPr="00216448">
        <w:t>Zhotovitel přijímá písemné reklamace vad na poštovní adrese</w:t>
      </w:r>
      <w:r w:rsidRPr="00453338">
        <w:rPr>
          <w:highlight w:val="yellow"/>
        </w:rPr>
        <w:t>: ……………</w:t>
      </w:r>
      <w:proofErr w:type="gramStart"/>
      <w:r w:rsidRPr="00453338">
        <w:rPr>
          <w:highlight w:val="yellow"/>
        </w:rPr>
        <w:t xml:space="preserve">….. </w:t>
      </w:r>
      <w:r w:rsidRPr="0019409F">
        <w:t>nebo</w:t>
      </w:r>
      <w:proofErr w:type="gramEnd"/>
      <w:r w:rsidRPr="00216448">
        <w:t xml:space="preserve"> na e-mailové adrese: </w:t>
      </w:r>
      <w:r>
        <w:rPr>
          <w:highlight w:val="yellow"/>
        </w:rPr>
        <w:t>………………..</w:t>
      </w:r>
    </w:p>
    <w:p w:rsidR="00216448" w:rsidRPr="004E1521" w:rsidRDefault="00216448" w:rsidP="003D29B6">
      <w:pPr>
        <w:pStyle w:val="lnek"/>
        <w:spacing w:before="360"/>
        <w:ind w:left="17"/>
      </w:pPr>
      <w:r w:rsidRPr="004E1521">
        <w:t>Pojištění Zhotovitele</w:t>
      </w:r>
    </w:p>
    <w:p w:rsidR="00216448" w:rsidRPr="004E1521" w:rsidRDefault="00216448" w:rsidP="00216448">
      <w:pPr>
        <w:pStyle w:val="Odstavec2"/>
      </w:pPr>
      <w:r w:rsidRPr="004E1521">
        <w:t xml:space="preserve">Zhotovitel prohlašuje, že má ke dni podpisu Smlouvy platně </w:t>
      </w:r>
      <w:r w:rsidRPr="004E1521">
        <w:rPr>
          <w:iCs/>
        </w:rPr>
        <w:t>uzavřeno příslušné pojištění</w:t>
      </w:r>
    </w:p>
    <w:p w:rsidR="00216448" w:rsidRPr="004E1521" w:rsidRDefault="00216448" w:rsidP="00216448">
      <w:pPr>
        <w:pStyle w:val="Odstavec2"/>
        <w:numPr>
          <w:ilvl w:val="0"/>
          <w:numId w:val="32"/>
        </w:numPr>
      </w:pPr>
      <w:r w:rsidRPr="004E1521">
        <w:t xml:space="preserve">pro případ odpovědnosti za škodu způsobenou třetí osobě vzniklou v souvislosti s výkonem jeho podnikatelské činnosti s pojistným plněním ve výši min. </w:t>
      </w:r>
      <w:r w:rsidR="006B4351" w:rsidRPr="004E1521">
        <w:t>2.000.000</w:t>
      </w:r>
      <w:r w:rsidRPr="004E1521">
        <w:t>,- Kč.</w:t>
      </w:r>
    </w:p>
    <w:p w:rsidR="00216448" w:rsidRPr="004E1521" w:rsidRDefault="00216448" w:rsidP="00216448">
      <w:pPr>
        <w:pStyle w:val="Odstavec2"/>
        <w:numPr>
          <w:ilvl w:val="0"/>
          <w:numId w:val="32"/>
        </w:numPr>
      </w:pPr>
      <w:r w:rsidRPr="004E1521">
        <w:t>pro případ odpovědnosti za škodu na životním prostředí (za únik znečišťujících látek) s pojistným plněním ve výši min.</w:t>
      </w:r>
      <w:r w:rsidR="006B4351" w:rsidRPr="004E1521">
        <w:t xml:space="preserve"> 2.000.000</w:t>
      </w:r>
      <w:r w:rsidRPr="004E1521">
        <w:t>,- Kč</w:t>
      </w:r>
    </w:p>
    <w:p w:rsidR="00216448" w:rsidRPr="004E1521" w:rsidRDefault="00280022" w:rsidP="00280022">
      <w:pPr>
        <w:pStyle w:val="Odstavec2"/>
      </w:pPr>
      <w:r w:rsidRPr="004E1521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4E1521" w:rsidRDefault="00280022" w:rsidP="00280022">
      <w:pPr>
        <w:pStyle w:val="Odstavec2"/>
      </w:pPr>
      <w:r w:rsidRPr="004E1521">
        <w:rPr>
          <w:iCs/>
        </w:rPr>
        <w:t xml:space="preserve">Nezajistí-li Zhotovitel nepřetržité trvání pojištění v dohodnutém rozsahu po dohodnutou dobu, </w:t>
      </w:r>
      <w:r w:rsidR="002E7307">
        <w:rPr>
          <w:iCs/>
        </w:rPr>
        <w:t xml:space="preserve">tj. po dobu trvání této Smlouvy, </w:t>
      </w:r>
      <w:r w:rsidRPr="004E1521">
        <w:rPr>
          <w:iCs/>
        </w:rPr>
        <w:t>je Objednatel oprávněn uzavřít a udržovat takové pojištění sám. Náklady vzniklé v souvislosti s takovým pojištěním je Objednatel oprávněn započíst na Cenu díla sjednanou ve Smlouvě.</w:t>
      </w:r>
    </w:p>
    <w:p w:rsidR="00280022" w:rsidRPr="004E1521" w:rsidRDefault="00280022" w:rsidP="003D29B6">
      <w:pPr>
        <w:pStyle w:val="lnek"/>
        <w:spacing w:before="360"/>
        <w:ind w:left="17"/>
      </w:pPr>
      <w:r w:rsidRPr="004E1521">
        <w:t>Smluvní pokuty a úrok z prodlení</w:t>
      </w:r>
    </w:p>
    <w:p w:rsidR="006B4351" w:rsidRPr="004E1521" w:rsidRDefault="00280022" w:rsidP="00280022">
      <w:pPr>
        <w:pStyle w:val="Odstavec2"/>
      </w:pPr>
      <w:r w:rsidRPr="004E1521">
        <w:t>Smluvní strana je oprávněna v případě prodlení druhé Smluvní strany s úhradou peněžitého plnění požadovat úhradu úroku z prodlení v zákonné výši podle občanskoprávních p</w:t>
      </w:r>
      <w:r w:rsidR="006B4351" w:rsidRPr="004E1521">
        <w:t>ředpisů.</w:t>
      </w:r>
    </w:p>
    <w:p w:rsidR="00280022" w:rsidRPr="004E1521" w:rsidRDefault="00280022" w:rsidP="00280022">
      <w:pPr>
        <w:pStyle w:val="Odstavec2"/>
      </w:pPr>
      <w:r w:rsidRPr="004E1521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B4351" w:rsidRPr="004E1521">
        <w:rPr>
          <w:bCs/>
        </w:rPr>
        <w:t>0,5</w:t>
      </w:r>
      <w:r w:rsidRPr="004E1521">
        <w:rPr>
          <w:bCs/>
        </w:rPr>
        <w:t xml:space="preserve"> % z Ceny díla za každý i započatý den prodlení.</w:t>
      </w:r>
    </w:p>
    <w:p w:rsidR="00280022" w:rsidRPr="004E1521" w:rsidRDefault="00280022" w:rsidP="00280022">
      <w:pPr>
        <w:pStyle w:val="Odstavec2"/>
      </w:pPr>
      <w:r w:rsidRPr="004E1521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63812" w:rsidRPr="004E1521">
        <w:rPr>
          <w:bCs/>
        </w:rPr>
        <w:t>2</w:t>
      </w:r>
      <w:r w:rsidR="006B4351" w:rsidRPr="004E1521">
        <w:rPr>
          <w:bCs/>
        </w:rPr>
        <w:t>0.000</w:t>
      </w:r>
      <w:r w:rsidRPr="004E1521">
        <w:rPr>
          <w:bCs/>
        </w:rPr>
        <w:t>,- Kč.</w:t>
      </w:r>
    </w:p>
    <w:p w:rsidR="00280022" w:rsidRPr="004E1521" w:rsidRDefault="00280022" w:rsidP="00280022">
      <w:pPr>
        <w:pStyle w:val="Odstavec2"/>
      </w:pPr>
      <w:r w:rsidRPr="004E1521">
        <w:rPr>
          <w:bCs/>
        </w:rPr>
        <w:t>Pokud</w:t>
      </w:r>
      <w:r w:rsidRPr="004E1521">
        <w:t xml:space="preserve"> Zhotovitel neodstraní nedodělky či vady zjištěné při přejímacím řízení v dohodnutém termínu, je Objednatel oprávněn požadovat po Zhotoviteli úhradu smluvní pokuty </w:t>
      </w:r>
      <w:r w:rsidR="00663812" w:rsidRPr="004E1521">
        <w:t>5</w:t>
      </w:r>
      <w:r w:rsidR="006B4351" w:rsidRPr="004E1521">
        <w:t>.000</w:t>
      </w:r>
      <w:r w:rsidRPr="004E1521">
        <w:t>,- Kč za každý nedodělek či vadu a za každý den prodlení.</w:t>
      </w:r>
    </w:p>
    <w:p w:rsidR="00280022" w:rsidRPr="004E1521" w:rsidRDefault="00280022" w:rsidP="00280022">
      <w:pPr>
        <w:pStyle w:val="Odstavec2"/>
      </w:pPr>
      <w:r w:rsidRPr="004E1521">
        <w:rPr>
          <w:bCs/>
        </w:rPr>
        <w:t>Smluvní pokuta za neodstranění reklamovaných vad</w:t>
      </w:r>
    </w:p>
    <w:p w:rsidR="00280022" w:rsidRPr="004E1521" w:rsidRDefault="00280022" w:rsidP="00280022">
      <w:pPr>
        <w:pStyle w:val="Odstavec3"/>
      </w:pPr>
      <w:r w:rsidRPr="004E1521">
        <w:t>Při prodlení se splněním dohodnutého termínu odstranění reklamované vady Díla nebo dohodnutého termínu nástupu na odstranění reklamované vady Díla, je Objednatel oprávněn po Zhotoviteli požadovat úhradu smluvní pokuty ve výši</w:t>
      </w:r>
      <w:r w:rsidR="006B4351" w:rsidRPr="004E1521">
        <w:t xml:space="preserve"> 5.000</w:t>
      </w:r>
      <w:r w:rsidRPr="004E1521">
        <w:t>,- Kč za každou vadu a den prodlení.</w:t>
      </w:r>
    </w:p>
    <w:p w:rsidR="00280022" w:rsidRPr="004E1521" w:rsidRDefault="00280022" w:rsidP="00280022">
      <w:pPr>
        <w:pStyle w:val="Odstavec3"/>
      </w:pPr>
      <w:r w:rsidRPr="004E1521">
        <w:t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</w:t>
      </w:r>
      <w:r w:rsidR="006B4351" w:rsidRPr="004E1521">
        <w:t>du další smluvní pokuty ve výši 5.000</w:t>
      </w:r>
      <w:r w:rsidRPr="004E1521">
        <w:t>,- Kč za každou oprávněnou reklamaci.</w:t>
      </w:r>
    </w:p>
    <w:p w:rsidR="00280022" w:rsidRPr="004E1521" w:rsidRDefault="00655C3C" w:rsidP="00280022">
      <w:pPr>
        <w:pStyle w:val="Odstavec3"/>
      </w:pPr>
      <w:r w:rsidRPr="004E1521">
        <w:t xml:space="preserve">Pokud Zhotovitel poruší své povinnosti, jak je uvedeno v předchozích dvou odstavcích a v reklamaci je vada Objednatelem oprávněně označena za vadu bránící řádnému užívání Díla, </w:t>
      </w:r>
      <w:r w:rsidRPr="004E1521">
        <w:lastRenderedPageBreak/>
        <w:t>nebo že v důsledku vady hrozí Havárie, sjednávají obě Smluvní strany smluvní pokuty v dvojnásobné výši smluvních pokut uvedených v předchozích dvou odstavcích.</w:t>
      </w:r>
    </w:p>
    <w:p w:rsidR="00655C3C" w:rsidRPr="004E1521" w:rsidRDefault="00655C3C" w:rsidP="00655C3C">
      <w:pPr>
        <w:pStyle w:val="Odstavec2"/>
      </w:pPr>
      <w:r w:rsidRPr="004E1521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663812" w:rsidRPr="004E1521">
        <w:t>5.000</w:t>
      </w:r>
      <w:r w:rsidRPr="004E1521">
        <w:t>,- Kč za každý jednotlivý případ porušení. Porušení bude zaznamenáno ve Stavebním deníku oprávněným Zástupcem Objednatele.</w:t>
      </w:r>
    </w:p>
    <w:p w:rsidR="00655C3C" w:rsidRPr="004E1521" w:rsidRDefault="00655C3C" w:rsidP="00655C3C">
      <w:pPr>
        <w:pStyle w:val="Odstavec2"/>
      </w:pPr>
      <w:r w:rsidRPr="004E1521">
        <w:t>V případě, že Zhotovitel nedokončí řádně všechny práce na Díle v souladu se Smlouvou do konce termínu odstávky a/nebo nevyklidí a nepřipraví Staveniště a nepřipraví dotčená zařízení tak, aby bylo možné odstávku ukončit, je povinen zaplatit Objednateli smluvní pokutu ve výši</w:t>
      </w:r>
      <w:r w:rsidR="00663812" w:rsidRPr="004E1521">
        <w:t xml:space="preserve"> 5.000</w:t>
      </w:r>
      <w:r w:rsidRPr="004E1521">
        <w:t xml:space="preserve">,- Kč/den. </w:t>
      </w:r>
    </w:p>
    <w:p w:rsidR="00655C3C" w:rsidRPr="004E1521" w:rsidRDefault="00655C3C" w:rsidP="00655C3C">
      <w:pPr>
        <w:pStyle w:val="Odstavec2"/>
      </w:pPr>
      <w:r w:rsidRPr="004E1521">
        <w:t>Smluvní pokutu vyúčtuje oprávněná Smluvní strana povinné Smluvní straně písemnou formou.</w:t>
      </w:r>
    </w:p>
    <w:p w:rsidR="00655C3C" w:rsidRPr="004E1521" w:rsidRDefault="00655C3C" w:rsidP="00655C3C">
      <w:pPr>
        <w:pStyle w:val="Odstavec2"/>
      </w:pPr>
      <w:r w:rsidRPr="004E1521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4E1521" w:rsidRDefault="00655C3C" w:rsidP="00655C3C">
      <w:pPr>
        <w:pStyle w:val="Odstavec2"/>
      </w:pPr>
      <w:r w:rsidRPr="004E1521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2E7307" w:rsidRDefault="00655C3C" w:rsidP="00655C3C">
      <w:pPr>
        <w:pStyle w:val="Odstavec2"/>
      </w:pPr>
      <w:r w:rsidRPr="004E1521">
        <w:rPr>
          <w:iCs/>
        </w:rPr>
        <w:t>Zaplacením jakékoli smluvní pokuty není dotčeno právo Objednatele požadovat na Zhotoviteli náhradu škody, a to v plném rozsahu.</w:t>
      </w:r>
    </w:p>
    <w:p w:rsidR="002E7307" w:rsidRPr="004E1521" w:rsidRDefault="002E7307" w:rsidP="002E7307">
      <w:pPr>
        <w:pStyle w:val="Odstavec2"/>
      </w:pPr>
      <w:r>
        <w:t>Zhotovitel prohlašuje, že smluvní pokuty stanovené touto Smlouvou považuje za přiměřené, a to s ohledem na povinnosti, ke kterým se vztahují.</w:t>
      </w:r>
    </w:p>
    <w:p w:rsidR="00655C3C" w:rsidRPr="004E1521" w:rsidRDefault="00655C3C" w:rsidP="003D29B6">
      <w:pPr>
        <w:pStyle w:val="lnek"/>
        <w:spacing w:before="360"/>
        <w:ind w:left="17"/>
        <w:rPr>
          <w:iCs/>
        </w:rPr>
      </w:pPr>
      <w:r w:rsidRPr="004E1521">
        <w:rPr>
          <w:iCs/>
        </w:rPr>
        <w:t>Závěrečná ujednání</w:t>
      </w:r>
    </w:p>
    <w:p w:rsidR="00621C7C" w:rsidRPr="004E1521" w:rsidRDefault="00BC323C" w:rsidP="00BC323C">
      <w:pPr>
        <w:pStyle w:val="Odstavec2"/>
      </w:pPr>
      <w:r w:rsidRPr="004E1521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 w:rsidR="002E7307">
        <w:t>S</w:t>
      </w:r>
      <w:r w:rsidRPr="004E1521">
        <w:t>mluvních stran přičteno podle zákona č. 418/2011 Sb., o trestní odpovědnosti právnických osob a řízení proti nim nebo nevznikla trestní odpovědnost fyzických osob (včetně zaměstnanců) podle trestního zákona</w:t>
      </w:r>
      <w:r w:rsidR="002E7307">
        <w:t xml:space="preserve"> č. 40/2009 Sb.</w:t>
      </w:r>
      <w:r w:rsidRPr="004E1521">
        <w:t xml:space="preserve">, případně nebylo zahájeno trestní stíhání proti jakékoliv ze </w:t>
      </w:r>
      <w:r w:rsidR="002E7307">
        <w:t>S</w:t>
      </w:r>
      <w:r w:rsidRPr="004E1521">
        <w:t xml:space="preserve">mluvních stran včetně jejích zaměstnanců podle platných právních předpisů. Příslušná </w:t>
      </w:r>
      <w:r w:rsidR="002E7307">
        <w:t>S</w:t>
      </w:r>
      <w:r w:rsidRPr="004E1521">
        <w:t>mluvní strana</w:t>
      </w:r>
      <w:r w:rsidR="002E7307">
        <w:t xml:space="preserve"> - Zhotovitel</w:t>
      </w:r>
      <w:r w:rsidRPr="004E1521">
        <w:t xml:space="preserve"> prohlašuje, že se seznámila s Etickým kodexem ČEPRO, a.s. a zavazuje se tento dodržovat na vlastní náklady a odpovědnost při plnění svých závazků vzniklých z této </w:t>
      </w:r>
      <w:r w:rsidR="002E7307">
        <w:t>S</w:t>
      </w:r>
      <w:r w:rsidRPr="004E1521">
        <w:t xml:space="preserve">mlouvy. Etický kodex ČEPRO, a.s. je uveřejněn na adrese </w:t>
      </w:r>
      <w:hyperlink r:id="rId11" w:history="1">
        <w:r w:rsidRPr="004E1521">
          <w:rPr>
            <w:rStyle w:val="Hypertextovodkaz"/>
          </w:rPr>
          <w:t>https://www.ceproas.cz/eticky-kodex</w:t>
        </w:r>
      </w:hyperlink>
      <w:r w:rsidRPr="004E1521">
        <w:t xml:space="preserve"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 w:rsidR="002E7307">
        <w:t>S</w:t>
      </w:r>
      <w:r w:rsidRPr="004E1521">
        <w:t xml:space="preserve">mluvní strana povinna neprodleně oznámit druhé </w:t>
      </w:r>
      <w:r w:rsidR="002E7307">
        <w:t>S</w:t>
      </w:r>
      <w:r w:rsidRPr="004E1521">
        <w:t>mluvní straně bez ohledu a nad rámec splnění případné zákonné oznamovací povinnosti.</w:t>
      </w:r>
    </w:p>
    <w:p w:rsidR="00621C7C" w:rsidRPr="004E1521" w:rsidRDefault="00BC323C" w:rsidP="00BC323C">
      <w:pPr>
        <w:pStyle w:val="Odstavec2"/>
      </w:pPr>
      <w:r w:rsidRPr="004E1521">
        <w:t xml:space="preserve">Smluvní strany se zavazují a prohlašují, že splňují a budou po celou dobu trvání této Smlouvy dodržovat a splňovat kritéria a standardy chování společnosti ČEPRO, a.s. v obchodním styku, specifikované a uveřejněné na adrese </w:t>
      </w:r>
      <w:hyperlink r:id="rId12" w:history="1">
        <w:r w:rsidRPr="004E1521">
          <w:rPr>
            <w:rStyle w:val="Hypertextovodkaz"/>
          </w:rPr>
          <w:t>https://www.ceproas.cz/vyberova-rizení</w:t>
        </w:r>
      </w:hyperlink>
      <w:r w:rsidRPr="004E1521">
        <w:t xml:space="preserve"> a etické zásady, obsažené v Etickém kodexu ČEPRO, a.s.</w:t>
      </w:r>
      <w:r w:rsidR="00621C7C" w:rsidRPr="004E1521">
        <w:t xml:space="preserve"> </w:t>
      </w:r>
    </w:p>
    <w:p w:rsidR="00655C3C" w:rsidRPr="004E1521" w:rsidRDefault="0021315A" w:rsidP="00655C3C">
      <w:pPr>
        <w:pStyle w:val="Odstavec2"/>
      </w:pPr>
      <w:r w:rsidRPr="004E1521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4E1521">
        <w:t>i neplatného ustanovení této Smlouvy.</w:t>
      </w:r>
    </w:p>
    <w:p w:rsidR="00D17CE0" w:rsidRDefault="00D17CE0" w:rsidP="00D17CE0">
      <w:pPr>
        <w:pStyle w:val="Odstavec2"/>
      </w:pPr>
      <w:r w:rsidRPr="004E1521">
        <w:t>Tato Smlouva a veškeré právní vztahy z ní vzniklé se řídí příslušnými ustanoveními zákona č. 89/2012 Sb., občanského zákoníku, a ostatními závaznými právními předpisy českého právního řádu.</w:t>
      </w:r>
      <w:r w:rsidR="006857A4" w:rsidRPr="004E1521">
        <w:t xml:space="preserve"> Smluvní strany si výslovně sjednávají, že ustanovení § 1765, § 1766, § 2609 z</w:t>
      </w:r>
      <w:r w:rsidR="002525FB" w:rsidRPr="004E1521">
        <w:t>.</w:t>
      </w:r>
      <w:r w:rsidR="006857A4" w:rsidRPr="004E1521">
        <w:t xml:space="preserve"> </w:t>
      </w:r>
      <w:proofErr w:type="gramStart"/>
      <w:r w:rsidR="006857A4" w:rsidRPr="004E1521">
        <w:t>č.</w:t>
      </w:r>
      <w:proofErr w:type="gramEnd"/>
      <w:r w:rsidR="006857A4" w:rsidRPr="004E1521">
        <w:t xml:space="preserve"> 89/2012 Sb., občanského zákoníku, se na vztah založený touto Smlouvou nepoužijí</w:t>
      </w:r>
      <w:r w:rsidR="002525FB" w:rsidRPr="004E1521">
        <w:t xml:space="preserve">. Smluvní strany se dále s ohledem na povahu Smlouvy dohodly, že Zhotovitel přebírá na sebe nebezpečí změny okolností ve smyslu </w:t>
      </w:r>
      <w:proofErr w:type="spellStart"/>
      <w:r w:rsidR="002525FB" w:rsidRPr="004E1521">
        <w:t>ust</w:t>
      </w:r>
      <w:proofErr w:type="spellEnd"/>
      <w:r w:rsidR="002525FB" w:rsidRPr="004E1521">
        <w:t xml:space="preserve">. § 2620 odst. 2 z. </w:t>
      </w:r>
      <w:proofErr w:type="gramStart"/>
      <w:r w:rsidR="002525FB" w:rsidRPr="004E1521">
        <w:t>č.</w:t>
      </w:r>
      <w:proofErr w:type="gramEnd"/>
      <w:r w:rsidR="002525FB" w:rsidRPr="004E1521">
        <w:t xml:space="preserve"> 89/2012 Sb., občanského zákoníku, a dále že bez předchozího písemného souhlasu Objednatele Zhotovitel nepřevede svá práva a povinnosti ze Smlouvy ani její části třetí osobě podle </w:t>
      </w:r>
      <w:proofErr w:type="spellStart"/>
      <w:r w:rsidR="002525FB" w:rsidRPr="004E1521">
        <w:t>ust</w:t>
      </w:r>
      <w:proofErr w:type="spellEnd"/>
      <w:r w:rsidR="002525FB" w:rsidRPr="004E1521">
        <w:t xml:space="preserve">. §§ 1895-1900 z. </w:t>
      </w:r>
      <w:proofErr w:type="gramStart"/>
      <w:r w:rsidR="002525FB" w:rsidRPr="004E1521">
        <w:t>č.</w:t>
      </w:r>
      <w:proofErr w:type="gramEnd"/>
      <w:r w:rsidR="002525FB" w:rsidRPr="004E1521">
        <w:t xml:space="preserve"> 89/2012 Sb., občanského zákoníku</w:t>
      </w:r>
      <w:r w:rsidR="006857A4" w:rsidRPr="004E1521">
        <w:t>.</w:t>
      </w:r>
    </w:p>
    <w:p w:rsidR="002E7307" w:rsidRDefault="002E7307" w:rsidP="002E7307">
      <w:pPr>
        <w:pStyle w:val="Odstavec2"/>
      </w:pPr>
      <w:r>
        <w:t>Tato Smlouva není převoditelná rubopisem.</w:t>
      </w:r>
    </w:p>
    <w:p w:rsidR="002E7307" w:rsidRDefault="002E7307" w:rsidP="002E7307">
      <w:pPr>
        <w:pStyle w:val="Odstavec2"/>
      </w:pPr>
      <w:r w:rsidRPr="00BC573E">
        <w:lastRenderedPageBreak/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727DF9">
        <w:rPr>
          <w:bCs/>
        </w:rPr>
        <w:t>a dokumentech, na které Smlouva výslovně odkazuje</w:t>
      </w:r>
      <w:r w:rsidRPr="00727DF9">
        <w:t xml:space="preserve">. </w:t>
      </w:r>
      <w:r w:rsidRPr="00BC573E">
        <w:t>Smluvní strany výslovně prohlašují,</w:t>
      </w:r>
      <w:r>
        <w:t xml:space="preserve"> že ke dni uzavření této Smlouvy</w:t>
      </w:r>
      <w:r w:rsidRPr="00BC573E">
        <w:t xml:space="preserve"> se ruší veškerá případná ujednání a dohody, které by se týkaly shodného předmětu plnění a tyto jsou v plném rozsahu nahrazeny ujed</w:t>
      </w:r>
      <w:r>
        <w:t>náními obsaženými v této Smlouvě</w:t>
      </w:r>
      <w:r w:rsidRPr="00BC573E">
        <w:t>, tj. neexistuje žádné jiné</w:t>
      </w:r>
      <w:r>
        <w:t xml:space="preserve"> ujednání, které by tuto Smlouvu</w:t>
      </w:r>
      <w:r w:rsidRPr="000806B5">
        <w:t xml:space="preserve"> doplňovalo nebo měnilo.</w:t>
      </w:r>
    </w:p>
    <w:p w:rsidR="002E7307" w:rsidRDefault="002E7307" w:rsidP="002E7307">
      <w:pPr>
        <w:pStyle w:val="Odstavec2"/>
      </w:pP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</w:t>
      </w:r>
      <w:r>
        <w:t xml:space="preserve">být s vyloučením </w:t>
      </w:r>
      <w:proofErr w:type="spellStart"/>
      <w:r>
        <w:t>ust</w:t>
      </w:r>
      <w:proofErr w:type="spellEnd"/>
      <w:r>
        <w:t>. § 566 zákona</w:t>
      </w:r>
      <w:r w:rsidRPr="000D1392">
        <w:t xml:space="preserve">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jinak.</w:t>
      </w:r>
    </w:p>
    <w:p w:rsidR="002E7307" w:rsidRPr="00BA59A8" w:rsidRDefault="002E7307" w:rsidP="002E7307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</w:t>
      </w:r>
      <w:r w:rsidRPr="000D1392">
        <w:t>, při</w:t>
      </w:r>
      <w:r>
        <w:t>čemž pro vyloučení pochybností S</w:t>
      </w:r>
      <w:r w:rsidRPr="000D1392">
        <w:t>mluvní stran</w:t>
      </w:r>
      <w:r>
        <w:t xml:space="preserve">y konstatují, že písemná forma </w:t>
      </w:r>
      <w:r w:rsidRPr="000D1392">
        <w:t xml:space="preserve">není zachována při právním jednání učiněném elektronickými nebo technickými prostředky ve smyslu </w:t>
      </w:r>
      <w:proofErr w:type="spellStart"/>
      <w:r w:rsidRPr="000D1392">
        <w:t>ust</w:t>
      </w:r>
      <w:proofErr w:type="spellEnd"/>
      <w:r w:rsidRPr="000D1392">
        <w:t>. § 562 zák. č. 89/2012 Sb., občanský zákoník, za písemnou formu se považuje pouze forma listinná</w:t>
      </w:r>
      <w:r w:rsidRPr="00BA59A8">
        <w:t>.</w:t>
      </w:r>
    </w:p>
    <w:p w:rsidR="00BA59A8" w:rsidRPr="004E1521" w:rsidRDefault="00BA59A8" w:rsidP="00BA59A8">
      <w:pPr>
        <w:pStyle w:val="Odstavec2"/>
      </w:pPr>
      <w:bookmarkStart w:id="2" w:name="_Ref321332148"/>
      <w:r w:rsidRPr="004E1521">
        <w:t>Nedílnou součástí této Smlouvy jsou přílohy:</w:t>
      </w:r>
      <w:bookmarkEnd w:id="2"/>
    </w:p>
    <w:p w:rsidR="00BA59A8" w:rsidRPr="004E1521" w:rsidRDefault="00C55309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4E1521">
        <w:rPr>
          <w:rFonts w:ascii="Arial" w:hAnsi="Arial" w:cs="Arial"/>
          <w:color w:val="000000"/>
          <w:sz w:val="20"/>
          <w:szCs w:val="20"/>
        </w:rPr>
        <w:t>Příloha č. 1 Položkový rozpočet</w:t>
      </w:r>
    </w:p>
    <w:p w:rsidR="00C55309" w:rsidRDefault="00C55309" w:rsidP="00F07967">
      <w:pPr>
        <w:pStyle w:val="Odstavecseseznamem"/>
        <w:numPr>
          <w:ilvl w:val="0"/>
          <w:numId w:val="33"/>
        </w:numPr>
        <w:spacing w:after="120" w:line="240" w:lineRule="auto"/>
        <w:ind w:left="1145" w:hanging="357"/>
        <w:rPr>
          <w:rFonts w:ascii="Arial" w:hAnsi="Arial" w:cs="Arial"/>
          <w:color w:val="000000"/>
          <w:sz w:val="20"/>
          <w:szCs w:val="20"/>
        </w:rPr>
      </w:pPr>
      <w:r w:rsidRPr="004E1521">
        <w:rPr>
          <w:rFonts w:ascii="Arial" w:hAnsi="Arial" w:cs="Arial"/>
          <w:color w:val="000000"/>
          <w:sz w:val="20"/>
          <w:szCs w:val="20"/>
        </w:rPr>
        <w:t>Pří</w:t>
      </w:r>
      <w:r w:rsidR="00EA4E15">
        <w:rPr>
          <w:rFonts w:ascii="Arial" w:hAnsi="Arial" w:cs="Arial"/>
          <w:color w:val="000000"/>
          <w:sz w:val="20"/>
          <w:szCs w:val="20"/>
        </w:rPr>
        <w:t>l</w:t>
      </w:r>
      <w:r w:rsidR="00E50146">
        <w:rPr>
          <w:rFonts w:ascii="Arial" w:hAnsi="Arial" w:cs="Arial"/>
          <w:color w:val="000000"/>
          <w:sz w:val="20"/>
          <w:szCs w:val="20"/>
        </w:rPr>
        <w:t xml:space="preserve">oha </w:t>
      </w:r>
      <w:proofErr w:type="gramStart"/>
      <w:r w:rsidR="00E50146">
        <w:rPr>
          <w:rFonts w:ascii="Arial" w:hAnsi="Arial" w:cs="Arial"/>
          <w:color w:val="000000"/>
          <w:sz w:val="20"/>
          <w:szCs w:val="20"/>
        </w:rPr>
        <w:t xml:space="preserve">č. 2 </w:t>
      </w:r>
      <w:r w:rsidRPr="004E1521">
        <w:rPr>
          <w:rFonts w:ascii="Arial" w:hAnsi="Arial" w:cs="Arial"/>
          <w:color w:val="000000"/>
          <w:sz w:val="20"/>
          <w:szCs w:val="20"/>
        </w:rPr>
        <w:t>Harmonogram</w:t>
      </w:r>
      <w:proofErr w:type="gramEnd"/>
      <w:r w:rsidRPr="004E1521">
        <w:rPr>
          <w:rFonts w:ascii="Arial" w:hAnsi="Arial" w:cs="Arial"/>
          <w:color w:val="000000"/>
          <w:sz w:val="20"/>
          <w:szCs w:val="20"/>
        </w:rPr>
        <w:t xml:space="preserve"> plnění</w:t>
      </w:r>
    </w:p>
    <w:p w:rsidR="00BA59A8" w:rsidRPr="004E1521" w:rsidRDefault="00BA59A8" w:rsidP="00BA59A8">
      <w:pPr>
        <w:pStyle w:val="Odstavec2"/>
      </w:pPr>
      <w:r w:rsidRPr="004E1521">
        <w:t xml:space="preserve">Tato Smlouva byla </w:t>
      </w:r>
      <w:r w:rsidR="002E7307">
        <w:t>S</w:t>
      </w:r>
      <w:r w:rsidRPr="004E1521">
        <w:t xml:space="preserve">mluvními stranami podepsána ve čtyřech vyhotoveních, z nichž každá ze </w:t>
      </w:r>
      <w:r w:rsidR="002E7307">
        <w:t>S</w:t>
      </w:r>
      <w:r w:rsidRPr="004E1521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D17CE0" w:rsidRDefault="00BA59A8" w:rsidP="00BA59A8">
      <w:pPr>
        <w:pStyle w:val="Odstavec2"/>
      </w:pPr>
      <w:r w:rsidRPr="004E1521">
        <w:t>Tato Smlouva nabývá platnosti</w:t>
      </w:r>
      <w:r w:rsidR="00C55309" w:rsidRPr="004E1521">
        <w:t xml:space="preserve"> a účinnosti</w:t>
      </w:r>
      <w:r w:rsidRPr="004E1521">
        <w:t xml:space="preserve"> dnem jejího p</w:t>
      </w:r>
      <w:r w:rsidR="00C55309" w:rsidRPr="004E1521">
        <w:t>odpisu oběma</w:t>
      </w:r>
      <w:r w:rsidR="00C55309">
        <w:t xml:space="preserve"> Smluvními stranami.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3A4FB3">
      <w:pPr>
        <w:pStyle w:val="Odstavec2"/>
      </w:pPr>
      <w:r>
        <w:t>VOP jsou uveřejněna na adrese</w:t>
      </w:r>
      <w:r w:rsidR="003A4FB3">
        <w:t xml:space="preserve"> </w:t>
      </w:r>
      <w:hyperlink r:id="rId13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F07967" w:rsidRDefault="002E7307" w:rsidP="004C7DFC">
      <w:pPr>
        <w:pStyle w:val="Odstavec3"/>
        <w:spacing w:after="240"/>
        <w:ind w:left="1135" w:hanging="851"/>
      </w:pPr>
      <w:r>
        <w:t>Smluvní strany sjednávají, že čl. 3.6, 6.3 a 6.7 VOP se na vztah Smluvních stran založený touto Smlouvou neuplatní.</w:t>
      </w:r>
      <w:bookmarkStart w:id="3" w:name="_GoBack"/>
      <w:bookmarkEnd w:id="3"/>
    </w:p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sectPr w:rsidR="0021315A" w:rsidSect="008A5C94">
      <w:headerReference w:type="default" r:id="rId14"/>
      <w:footerReference w:type="default" r:id="rId15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D5B" w:rsidRDefault="004B3D5B">
      <w:r>
        <w:separator/>
      </w:r>
    </w:p>
  </w:endnote>
  <w:endnote w:type="continuationSeparator" w:id="0">
    <w:p w:rsidR="004B3D5B" w:rsidRDefault="004B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9245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07967" w:rsidRDefault="00F0796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25FD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25FD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F07967" w:rsidRDefault="00F079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D5B" w:rsidRDefault="004B3D5B">
      <w:r>
        <w:separator/>
      </w:r>
    </w:p>
  </w:footnote>
  <w:footnote w:type="continuationSeparator" w:id="0">
    <w:p w:rsidR="004B3D5B" w:rsidRDefault="004B3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926" w:rsidRDefault="00247926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4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5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6"/>
  </w:num>
  <w:num w:numId="32">
    <w:abstractNumId w:val="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551"/>
    <w:rsid w:val="0002416C"/>
    <w:rsid w:val="00035D55"/>
    <w:rsid w:val="0007144A"/>
    <w:rsid w:val="000C04EF"/>
    <w:rsid w:val="000C6000"/>
    <w:rsid w:val="000D19D8"/>
    <w:rsid w:val="000F35E6"/>
    <w:rsid w:val="00100AD0"/>
    <w:rsid w:val="001265C5"/>
    <w:rsid w:val="00135F91"/>
    <w:rsid w:val="00151539"/>
    <w:rsid w:val="0019409F"/>
    <w:rsid w:val="001D0ECF"/>
    <w:rsid w:val="001E406E"/>
    <w:rsid w:val="002040B9"/>
    <w:rsid w:val="00204984"/>
    <w:rsid w:val="002113B1"/>
    <w:rsid w:val="0021315A"/>
    <w:rsid w:val="00216448"/>
    <w:rsid w:val="00216D66"/>
    <w:rsid w:val="00225234"/>
    <w:rsid w:val="002334FE"/>
    <w:rsid w:val="00245CA9"/>
    <w:rsid w:val="00246C10"/>
    <w:rsid w:val="00247926"/>
    <w:rsid w:val="002525FB"/>
    <w:rsid w:val="00256E66"/>
    <w:rsid w:val="00280022"/>
    <w:rsid w:val="002A0182"/>
    <w:rsid w:val="002A6D83"/>
    <w:rsid w:val="002E16FB"/>
    <w:rsid w:val="002E7307"/>
    <w:rsid w:val="002F1B3A"/>
    <w:rsid w:val="002F6183"/>
    <w:rsid w:val="003014E3"/>
    <w:rsid w:val="00316F94"/>
    <w:rsid w:val="0031724E"/>
    <w:rsid w:val="003421B8"/>
    <w:rsid w:val="00347F55"/>
    <w:rsid w:val="00363594"/>
    <w:rsid w:val="003A4FB3"/>
    <w:rsid w:val="003C6E40"/>
    <w:rsid w:val="003C76CB"/>
    <w:rsid w:val="003D29B6"/>
    <w:rsid w:val="003E354F"/>
    <w:rsid w:val="003E74EF"/>
    <w:rsid w:val="003F629A"/>
    <w:rsid w:val="00435D9F"/>
    <w:rsid w:val="00443435"/>
    <w:rsid w:val="004812B9"/>
    <w:rsid w:val="0048481F"/>
    <w:rsid w:val="00484C98"/>
    <w:rsid w:val="00492F27"/>
    <w:rsid w:val="00494CA6"/>
    <w:rsid w:val="004B3D5B"/>
    <w:rsid w:val="004B717B"/>
    <w:rsid w:val="004C7DFC"/>
    <w:rsid w:val="004D049A"/>
    <w:rsid w:val="004E1521"/>
    <w:rsid w:val="004F5000"/>
    <w:rsid w:val="00521FE0"/>
    <w:rsid w:val="00553982"/>
    <w:rsid w:val="005555DE"/>
    <w:rsid w:val="00557E2B"/>
    <w:rsid w:val="0059158C"/>
    <w:rsid w:val="005C5D01"/>
    <w:rsid w:val="005D1C50"/>
    <w:rsid w:val="005D6131"/>
    <w:rsid w:val="00603FC3"/>
    <w:rsid w:val="00621C7C"/>
    <w:rsid w:val="00625B9F"/>
    <w:rsid w:val="00635D66"/>
    <w:rsid w:val="006432F8"/>
    <w:rsid w:val="00655C3C"/>
    <w:rsid w:val="00663812"/>
    <w:rsid w:val="00681543"/>
    <w:rsid w:val="006857A4"/>
    <w:rsid w:val="006A0DA8"/>
    <w:rsid w:val="006B4351"/>
    <w:rsid w:val="006B53A3"/>
    <w:rsid w:val="006C6F94"/>
    <w:rsid w:val="006D0119"/>
    <w:rsid w:val="006F2ABC"/>
    <w:rsid w:val="006F4D5B"/>
    <w:rsid w:val="006F5596"/>
    <w:rsid w:val="0071124F"/>
    <w:rsid w:val="00721C8A"/>
    <w:rsid w:val="00724D60"/>
    <w:rsid w:val="007267F6"/>
    <w:rsid w:val="007871E2"/>
    <w:rsid w:val="00790973"/>
    <w:rsid w:val="007A3204"/>
    <w:rsid w:val="007B0C02"/>
    <w:rsid w:val="007B1761"/>
    <w:rsid w:val="007E0004"/>
    <w:rsid w:val="007E372E"/>
    <w:rsid w:val="007F3FC6"/>
    <w:rsid w:val="0080078B"/>
    <w:rsid w:val="00847822"/>
    <w:rsid w:val="008A5C94"/>
    <w:rsid w:val="008B5A2C"/>
    <w:rsid w:val="008C060C"/>
    <w:rsid w:val="008C45C8"/>
    <w:rsid w:val="008F48B5"/>
    <w:rsid w:val="00912F40"/>
    <w:rsid w:val="00925FDE"/>
    <w:rsid w:val="00941ACA"/>
    <w:rsid w:val="00954551"/>
    <w:rsid w:val="00965ECB"/>
    <w:rsid w:val="00971796"/>
    <w:rsid w:val="00986F82"/>
    <w:rsid w:val="00990309"/>
    <w:rsid w:val="009A0F9B"/>
    <w:rsid w:val="009B17A1"/>
    <w:rsid w:val="009C0A68"/>
    <w:rsid w:val="009C6A0D"/>
    <w:rsid w:val="009D0284"/>
    <w:rsid w:val="009E058F"/>
    <w:rsid w:val="009E079B"/>
    <w:rsid w:val="00A43197"/>
    <w:rsid w:val="00A82B5F"/>
    <w:rsid w:val="00AA42E3"/>
    <w:rsid w:val="00AE2EB8"/>
    <w:rsid w:val="00AE3CC7"/>
    <w:rsid w:val="00AF01AF"/>
    <w:rsid w:val="00AF68B0"/>
    <w:rsid w:val="00B20BE0"/>
    <w:rsid w:val="00B35620"/>
    <w:rsid w:val="00B96459"/>
    <w:rsid w:val="00BA556D"/>
    <w:rsid w:val="00BA59A8"/>
    <w:rsid w:val="00BC323C"/>
    <w:rsid w:val="00BE18A9"/>
    <w:rsid w:val="00BE2E82"/>
    <w:rsid w:val="00C03E05"/>
    <w:rsid w:val="00C30D59"/>
    <w:rsid w:val="00C326C7"/>
    <w:rsid w:val="00C43689"/>
    <w:rsid w:val="00C44C63"/>
    <w:rsid w:val="00C55309"/>
    <w:rsid w:val="00C962BE"/>
    <w:rsid w:val="00CD1BFE"/>
    <w:rsid w:val="00D16993"/>
    <w:rsid w:val="00D17CE0"/>
    <w:rsid w:val="00D310AA"/>
    <w:rsid w:val="00D33E88"/>
    <w:rsid w:val="00D600AD"/>
    <w:rsid w:val="00D871B0"/>
    <w:rsid w:val="00DC5408"/>
    <w:rsid w:val="00DD57F1"/>
    <w:rsid w:val="00DD6392"/>
    <w:rsid w:val="00DE3F03"/>
    <w:rsid w:val="00E00091"/>
    <w:rsid w:val="00E26075"/>
    <w:rsid w:val="00E322F9"/>
    <w:rsid w:val="00E34EAC"/>
    <w:rsid w:val="00E50146"/>
    <w:rsid w:val="00E66C0B"/>
    <w:rsid w:val="00E724C9"/>
    <w:rsid w:val="00E72771"/>
    <w:rsid w:val="00E82850"/>
    <w:rsid w:val="00E852B7"/>
    <w:rsid w:val="00EA0733"/>
    <w:rsid w:val="00EA4E15"/>
    <w:rsid w:val="00EE218D"/>
    <w:rsid w:val="00F07967"/>
    <w:rsid w:val="00F27CC1"/>
    <w:rsid w:val="00F44A7A"/>
    <w:rsid w:val="00FB510C"/>
    <w:rsid w:val="00FC188C"/>
    <w:rsid w:val="00FC6BC7"/>
    <w:rsid w:val="00FE4D08"/>
    <w:rsid w:val="00F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link w:val="ZpatChar"/>
    <w:uiPriority w:val="99"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557E2B"/>
    <w:pPr>
      <w:tabs>
        <w:tab w:val="left" w:pos="567"/>
        <w:tab w:val="num" w:pos="1506"/>
      </w:tabs>
      <w:spacing w:before="120" w:after="0"/>
      <w:ind w:left="993" w:hanging="567"/>
    </w:pPr>
    <w:rPr>
      <w:szCs w:val="20"/>
    </w:rPr>
  </w:style>
  <w:style w:type="paragraph" w:customStyle="1" w:styleId="1fze">
    <w:name w:val="1.fáze"/>
    <w:basedOn w:val="Normln"/>
    <w:next w:val="Normln"/>
    <w:qFormat/>
    <w:rsid w:val="00557E2B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3fze">
    <w:name w:val="3.fáze"/>
    <w:basedOn w:val="02-ODST-2"/>
    <w:qFormat/>
    <w:rsid w:val="00557E2B"/>
    <w:pPr>
      <w:tabs>
        <w:tab w:val="clear" w:pos="567"/>
        <w:tab w:val="clear" w:pos="1506"/>
        <w:tab w:val="left" w:pos="709"/>
        <w:tab w:val="num" w:pos="1364"/>
      </w:tabs>
      <w:ind w:left="709"/>
    </w:pPr>
  </w:style>
  <w:style w:type="paragraph" w:customStyle="1" w:styleId="4fze">
    <w:name w:val="4.fáze"/>
    <w:basedOn w:val="3fze"/>
    <w:qFormat/>
    <w:rsid w:val="00557E2B"/>
    <w:pPr>
      <w:tabs>
        <w:tab w:val="clear" w:pos="709"/>
        <w:tab w:val="clear" w:pos="1364"/>
        <w:tab w:val="left" w:pos="567"/>
        <w:tab w:val="left" w:pos="1418"/>
        <w:tab w:val="num" w:pos="2007"/>
      </w:tabs>
      <w:ind w:left="1701" w:hanging="1134"/>
    </w:pPr>
  </w:style>
  <w:style w:type="character" w:customStyle="1" w:styleId="ZpatChar">
    <w:name w:val="Zápatí Char"/>
    <w:basedOn w:val="Standardnpsmoodstavce"/>
    <w:link w:val="Zpat"/>
    <w:uiPriority w:val="99"/>
    <w:rsid w:val="00F07967"/>
    <w:rPr>
      <w:rFonts w:ascii="Arial" w:hAnsi="Arial"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link w:val="ZpatChar"/>
    <w:uiPriority w:val="99"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557E2B"/>
    <w:pPr>
      <w:tabs>
        <w:tab w:val="left" w:pos="567"/>
        <w:tab w:val="num" w:pos="1506"/>
      </w:tabs>
      <w:spacing w:before="120" w:after="0"/>
      <w:ind w:left="993" w:hanging="567"/>
    </w:pPr>
    <w:rPr>
      <w:szCs w:val="20"/>
    </w:rPr>
  </w:style>
  <w:style w:type="paragraph" w:customStyle="1" w:styleId="1fze">
    <w:name w:val="1.fáze"/>
    <w:basedOn w:val="Normln"/>
    <w:next w:val="Normln"/>
    <w:qFormat/>
    <w:rsid w:val="00557E2B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3fze">
    <w:name w:val="3.fáze"/>
    <w:basedOn w:val="02-ODST-2"/>
    <w:qFormat/>
    <w:rsid w:val="00557E2B"/>
    <w:pPr>
      <w:tabs>
        <w:tab w:val="clear" w:pos="567"/>
        <w:tab w:val="clear" w:pos="1506"/>
        <w:tab w:val="left" w:pos="709"/>
        <w:tab w:val="num" w:pos="1364"/>
      </w:tabs>
      <w:ind w:left="709"/>
    </w:pPr>
  </w:style>
  <w:style w:type="paragraph" w:customStyle="1" w:styleId="4fze">
    <w:name w:val="4.fáze"/>
    <w:basedOn w:val="3fze"/>
    <w:qFormat/>
    <w:rsid w:val="00557E2B"/>
    <w:pPr>
      <w:tabs>
        <w:tab w:val="clear" w:pos="709"/>
        <w:tab w:val="clear" w:pos="1364"/>
        <w:tab w:val="left" w:pos="567"/>
        <w:tab w:val="left" w:pos="1418"/>
        <w:tab w:val="num" w:pos="2007"/>
      </w:tabs>
      <w:ind w:left="1701" w:hanging="1134"/>
    </w:pPr>
  </w:style>
  <w:style w:type="character" w:customStyle="1" w:styleId="ZpatChar">
    <w:name w:val="Zápatí Char"/>
    <w:basedOn w:val="Standardnpsmoodstavce"/>
    <w:link w:val="Zpat"/>
    <w:uiPriority w:val="99"/>
    <w:rsid w:val="00F07967"/>
    <w:rPr>
      <w:rFonts w:ascii="Arial" w:hAnsi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public/data/VOP-M-2013-10-14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vyberova-rizen&#237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eticky-kodex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pavel.hysek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lva.sediva@ceproas.cz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koskyj\Desktop\Zad&#225;vac&#237;%20&#345;&#237;zen&#237;\183_14_OCN_Oprava%20kalov&#253;ch%20pol&#237;%20&#269;.%201%20a%202%20Cerekvice\P&#345;&#237;loha%20&#269;.%201%20SOD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DD389-1117-4F62-9C85-52CF40A1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 1 SOD</Template>
  <TotalTime>13</TotalTime>
  <Pages>7</Pages>
  <Words>3139</Words>
  <Characters>18521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5</cp:revision>
  <cp:lastPrinted>2015-05-20T07:43:00Z</cp:lastPrinted>
  <dcterms:created xsi:type="dcterms:W3CDTF">2015-05-12T11:32:00Z</dcterms:created>
  <dcterms:modified xsi:type="dcterms:W3CDTF">2015-05-20T07:44:00Z</dcterms:modified>
</cp:coreProperties>
</file>